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4542" w14:textId="0FB7CD4F" w:rsidR="00F903F3" w:rsidRPr="002B3E9E" w:rsidRDefault="00000000" w:rsidP="001A2826">
      <w:pPr>
        <w:pStyle w:val="Body1"/>
        <w:spacing w:after="0" w:line="240" w:lineRule="auto"/>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1A2826">
      <w:pPr>
        <w:pStyle w:val="Body1"/>
        <w:spacing w:after="0" w:line="240" w:lineRule="auto"/>
        <w:jc w:val="center"/>
        <w:rPr>
          <w:rFonts w:ascii="Times New Roman" w:hAnsi="Times New Roman"/>
          <w:b/>
          <w:bCs/>
          <w:sz w:val="20"/>
          <w:szCs w:val="20"/>
          <w:lang w:val="en-US"/>
        </w:rPr>
      </w:pPr>
    </w:p>
    <w:p w14:paraId="26B966C8" w14:textId="77777777" w:rsidR="00E56208" w:rsidRPr="00810EBA" w:rsidRDefault="00000000"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5B67110" w14:textId="77777777" w:rsidR="003354A8" w:rsidRPr="00810EBA" w:rsidRDefault="003354A8" w:rsidP="001A2826">
      <w:pPr>
        <w:pStyle w:val="Body1"/>
        <w:spacing w:after="0" w:line="240" w:lineRule="auto"/>
        <w:rPr>
          <w:rFonts w:ascii="Times New Roman" w:hAnsi="Times New Roman"/>
          <w:b/>
          <w:bCs/>
          <w:sz w:val="20"/>
          <w:szCs w:val="20"/>
          <w:lang w:val="en-US"/>
        </w:rPr>
      </w:pPr>
    </w:p>
    <w:p w14:paraId="3CD7EE7A" w14:textId="0A1EE654" w:rsidR="00E56208" w:rsidRPr="00810EBA" w:rsidRDefault="00000000"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THESE MATERIALS ARE NOT DIRECTED AT OR INTENDED TO BE ACCESSED BY PERSONS LOCATED OUTSIDE INDIA.</w:t>
      </w:r>
      <w:r w:rsidRPr="003354A8">
        <w:rPr>
          <w:rFonts w:ascii="Times New Roman" w:hAnsi="Times New Roman"/>
          <w:b/>
          <w:bCs/>
          <w:sz w:val="20"/>
          <w:szCs w:val="20"/>
          <w:lang w:val="en-US"/>
        </w:rPr>
        <w:t xml:space="preserve"> </w:t>
      </w:r>
    </w:p>
    <w:p w14:paraId="42E4904B" w14:textId="77777777" w:rsidR="00E56208" w:rsidRPr="002B3E9E" w:rsidRDefault="00E56208" w:rsidP="001A2826">
      <w:pPr>
        <w:pStyle w:val="Body1"/>
        <w:spacing w:after="0" w:line="240" w:lineRule="auto"/>
        <w:rPr>
          <w:rFonts w:ascii="Times New Roman" w:hAnsi="Times New Roman"/>
          <w:sz w:val="20"/>
          <w:szCs w:val="20"/>
          <w:lang w:val="en-US"/>
        </w:rPr>
      </w:pPr>
    </w:p>
    <w:p w14:paraId="385BDB8C" w14:textId="77777777" w:rsidR="00E56208" w:rsidRPr="002B3E9E" w:rsidRDefault="00000000" w:rsidP="001A2826">
      <w:pPr>
        <w:pStyle w:val="Body1"/>
        <w:spacing w:after="0" w:line="240" w:lineRule="auto"/>
        <w:rPr>
          <w:rFonts w:ascii="Times New Roman" w:hAnsi="Times New Roman"/>
          <w:sz w:val="20"/>
          <w:szCs w:val="20"/>
          <w:lang w:val="en-US"/>
        </w:rPr>
      </w:pPr>
      <w:r w:rsidRPr="00810EBA">
        <w:rPr>
          <w:rFonts w:ascii="Times New Roman" w:hAnsi="Times New Roman"/>
          <w:b/>
          <w:bCs/>
          <w:sz w:val="20"/>
          <w:szCs w:val="20"/>
          <w:lang w:val="en-US"/>
        </w:rPr>
        <w:t>IMPORTANT:</w:t>
      </w:r>
      <w:r w:rsidRPr="002B3E9E">
        <w:rPr>
          <w:rFonts w:ascii="Times New Roman" w:hAnsi="Times New Roman"/>
          <w:sz w:val="20"/>
          <w:szCs w:val="20"/>
          <w:lang w:val="en-US"/>
        </w:rPr>
        <w:t xml:space="preserve"> You must read and agree with the terms and conditions of the following disclaimer before continuing.</w:t>
      </w:r>
    </w:p>
    <w:p w14:paraId="6FD4B16C" w14:textId="77777777" w:rsidR="00E56208" w:rsidRPr="002B3E9E" w:rsidRDefault="00E56208" w:rsidP="001A2826">
      <w:pPr>
        <w:pStyle w:val="Body1"/>
        <w:spacing w:after="0" w:line="240" w:lineRule="auto"/>
        <w:rPr>
          <w:rFonts w:ascii="Times New Roman" w:hAnsi="Times New Roman"/>
          <w:sz w:val="20"/>
          <w:szCs w:val="20"/>
          <w:lang w:val="en-US"/>
        </w:rPr>
      </w:pPr>
    </w:p>
    <w:p w14:paraId="67341C4F" w14:textId="2CA7B20F" w:rsidR="001A2826" w:rsidRDefault="00000000" w:rsidP="0027476A">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audio visual film of </w:t>
      </w:r>
      <w:r w:rsidR="001D37DB">
        <w:rPr>
          <w:rFonts w:ascii="Times New Roman" w:hAnsi="Times New Roman"/>
          <w:sz w:val="20"/>
          <w:szCs w:val="20"/>
          <w:lang w:val="en-US"/>
        </w:rPr>
        <w:t>Safex Chemicals (India)</w:t>
      </w:r>
      <w:r w:rsidR="009F0F97" w:rsidRPr="009F0F97">
        <w:rPr>
          <w:rFonts w:ascii="Times New Roman" w:hAnsi="Times New Roman"/>
          <w:sz w:val="20"/>
          <w:szCs w:val="20"/>
          <w:lang w:val="en-US"/>
        </w:rPr>
        <w:t xml:space="preserve"> Limited </w:t>
      </w:r>
      <w:r w:rsidR="005B636B">
        <w:rPr>
          <w:rFonts w:ascii="Times New Roman" w:hAnsi="Times New Roman"/>
          <w:sz w:val="20"/>
          <w:szCs w:val="20"/>
          <w:lang w:val="en-US"/>
        </w:rPr>
        <w:t>(</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sidR="009F0F97">
        <w:rPr>
          <w:rFonts w:ascii="Times New Roman" w:hAnsi="Times New Roman"/>
          <w:sz w:val="20"/>
          <w:szCs w:val="20"/>
          <w:lang w:val="en-US"/>
        </w:rPr>
        <w:t>July</w:t>
      </w:r>
      <w:r w:rsidR="002A3298">
        <w:rPr>
          <w:rFonts w:ascii="Times New Roman" w:hAnsi="Times New Roman"/>
          <w:sz w:val="20"/>
          <w:szCs w:val="20"/>
          <w:lang w:val="en-US"/>
        </w:rPr>
        <w:t xml:space="preserve"> </w:t>
      </w:r>
      <w:r w:rsidR="00467D0D">
        <w:rPr>
          <w:rFonts w:ascii="Times New Roman" w:hAnsi="Times New Roman"/>
          <w:sz w:val="20"/>
          <w:szCs w:val="20"/>
          <w:lang w:val="en-US"/>
        </w:rPr>
        <w:t>3</w:t>
      </w:r>
      <w:r w:rsidR="002A3298">
        <w:rPr>
          <w:rFonts w:ascii="Times New Roman" w:hAnsi="Times New Roman"/>
          <w:sz w:val="20"/>
          <w:szCs w:val="20"/>
          <w:lang w:val="en-US"/>
        </w:rPr>
        <w:t>, 2025</w:t>
      </w:r>
      <w:r w:rsidRPr="00092533">
        <w:rPr>
          <w:rFonts w:ascii="Times New Roman" w:hAnsi="Times New Roman"/>
          <w:sz w:val="20"/>
          <w:szCs w:val="20"/>
          <w:lang w:val="en-US"/>
        </w:rPr>
        <w:t xml:space="preserve"> (the “</w:t>
      </w:r>
      <w:r w:rsidRPr="00092533">
        <w:rPr>
          <w:rFonts w:ascii="Times New Roman" w:hAnsi="Times New Roman"/>
          <w:b/>
          <w:bCs/>
          <w:sz w:val="20"/>
          <w:szCs w:val="20"/>
          <w:lang w:val="en-US"/>
        </w:rPr>
        <w:t>IPO AV</w:t>
      </w:r>
      <w:r w:rsidRPr="00092533">
        <w:rPr>
          <w:rFonts w:ascii="Times New Roman" w:hAnsi="Times New Roman"/>
          <w:sz w:val="20"/>
          <w:szCs w:val="20"/>
          <w:lang w:val="en-US"/>
        </w:rPr>
        <w:t>”), in relation to the initial public offering of the equity shares of face value of ₹</w:t>
      </w:r>
      <w:r>
        <w:rPr>
          <w:rFonts w:ascii="Times New Roman" w:hAnsi="Times New Roman"/>
          <w:sz w:val="20"/>
          <w:szCs w:val="20"/>
          <w:lang w:val="en-US"/>
        </w:rPr>
        <w:t xml:space="preserve"> </w:t>
      </w:r>
      <w:r w:rsidR="001D37DB">
        <w:rPr>
          <w:rFonts w:ascii="Times New Roman" w:hAnsi="Times New Roman"/>
          <w:sz w:val="20"/>
          <w:szCs w:val="20"/>
          <w:lang w:val="en-US"/>
        </w:rPr>
        <w:t>1</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Pr>
          <w:rFonts w:ascii="Times New Roman" w:hAnsi="Times New Roman"/>
          <w:b/>
          <w:bCs/>
          <w:sz w:val="20"/>
          <w:szCs w:val="20"/>
          <w:lang w:val="en-US"/>
        </w:rPr>
        <w:t>Offer</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is proposing, subject to receipt of requisite approvals, market conditions and other considerations, to make an initial public offering of its Equity Shares and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draft red herring prospectus dated</w:t>
      </w:r>
      <w:r w:rsidR="0027476A">
        <w:rPr>
          <w:rFonts w:ascii="Times New Roman" w:hAnsi="Times New Roman"/>
          <w:sz w:val="20"/>
          <w:szCs w:val="20"/>
          <w:lang w:val="en-US"/>
        </w:rPr>
        <w:t xml:space="preserve"> </w:t>
      </w:r>
      <w:r w:rsidR="009F0F97">
        <w:rPr>
          <w:rFonts w:ascii="Times New Roman" w:hAnsi="Times New Roman"/>
          <w:sz w:val="20"/>
          <w:szCs w:val="20"/>
          <w:lang w:val="en-US"/>
        </w:rPr>
        <w:t xml:space="preserve">July </w:t>
      </w:r>
      <w:r w:rsidR="001D37DB">
        <w:rPr>
          <w:rFonts w:ascii="Times New Roman" w:hAnsi="Times New Roman"/>
          <w:sz w:val="20"/>
          <w:szCs w:val="20"/>
          <w:lang w:val="en-US"/>
        </w:rPr>
        <w:t>3</w:t>
      </w:r>
      <w:r w:rsidR="002A3298">
        <w:rPr>
          <w:rFonts w:ascii="Times New Roman" w:hAnsi="Times New Roman"/>
          <w:sz w:val="20"/>
          <w:szCs w:val="20"/>
          <w:lang w:val="en-US"/>
        </w:rPr>
        <w:t>, 2025</w:t>
      </w:r>
      <w:r w:rsidR="005B636B" w:rsidRPr="005B636B">
        <w:rPr>
          <w:rFonts w:ascii="Times New Roman" w:hAnsi="Times New Roman"/>
          <w:sz w:val="20"/>
          <w:szCs w:val="20"/>
          <w:lang w:val="en-US"/>
        </w:rPr>
        <w:t xml:space="preserve"> (“</w:t>
      </w:r>
      <w:r w:rsidR="005B636B" w:rsidRPr="005B636B">
        <w:rPr>
          <w:rFonts w:ascii="Times New Roman" w:hAnsi="Times New Roman"/>
          <w:b/>
          <w:bCs/>
          <w:sz w:val="20"/>
          <w:szCs w:val="20"/>
          <w:lang w:val="en-US"/>
        </w:rPr>
        <w:t>DRHP</w:t>
      </w:r>
      <w:r w:rsidR="005B636B" w:rsidRPr="005B636B">
        <w:rPr>
          <w:rFonts w:ascii="Times New Roman" w:hAnsi="Times New Roman"/>
          <w:sz w:val="20"/>
          <w:szCs w:val="20"/>
          <w:lang w:val="en-US"/>
        </w:rPr>
        <w:t>”) with the 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BSE Limited and National Stock Exchange of India Limited (“</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The DRHP is available on the website of SEBI at www.sebi.gov.in, as well as on the websites of the Stock </w:t>
      </w:r>
      <w:r w:rsidR="005B636B" w:rsidRPr="001A2826">
        <w:rPr>
          <w:rFonts w:ascii="Times New Roman" w:hAnsi="Times New Roman"/>
          <w:sz w:val="20"/>
          <w:szCs w:val="20"/>
          <w:lang w:val="en-US"/>
        </w:rPr>
        <w:t>Exchanges</w:t>
      </w:r>
      <w:r w:rsidR="003354A8">
        <w:rPr>
          <w:rFonts w:ascii="Times New Roman" w:hAnsi="Times New Roman"/>
          <w:sz w:val="20"/>
          <w:szCs w:val="20"/>
          <w:lang w:val="en-US"/>
        </w:rPr>
        <w:t>,</w:t>
      </w:r>
      <w:r w:rsidR="005B636B" w:rsidRPr="001A2826">
        <w:rPr>
          <w:rFonts w:ascii="Times New Roman" w:hAnsi="Times New Roman"/>
          <w:sz w:val="20"/>
          <w:szCs w:val="20"/>
          <w:lang w:val="en-US"/>
        </w:rPr>
        <w:t xml:space="preserve"> i.e.</w:t>
      </w:r>
      <w:r w:rsidR="003354A8">
        <w:rPr>
          <w:rFonts w:ascii="Times New Roman" w:hAnsi="Times New Roman"/>
          <w:sz w:val="20"/>
          <w:szCs w:val="20"/>
          <w:lang w:val="en-US"/>
        </w:rPr>
        <w:t>,</w:t>
      </w:r>
      <w:r w:rsidR="005B636B" w:rsidRPr="001A2826">
        <w:rPr>
          <w:rFonts w:ascii="Times New Roman" w:hAnsi="Times New Roman"/>
          <w:sz w:val="20"/>
          <w:szCs w:val="20"/>
          <w:lang w:val="en-US"/>
        </w:rPr>
        <w:t xml:space="preserve"> BSE and NSE at www.bseindia.com and www.nseindia.com, respectively, on the website of the Company at </w:t>
      </w:r>
      <w:r w:rsidR="009F0F97" w:rsidRPr="009F0F97">
        <w:rPr>
          <w:rFonts w:ascii="Times New Roman" w:hAnsi="Times New Roman"/>
          <w:sz w:val="20"/>
          <w:szCs w:val="20"/>
        </w:rPr>
        <w:t>www.</w:t>
      </w:r>
      <w:r w:rsidR="001D37DB">
        <w:rPr>
          <w:rFonts w:ascii="Times New Roman" w:hAnsi="Times New Roman"/>
          <w:sz w:val="20"/>
          <w:szCs w:val="20"/>
        </w:rPr>
        <w:t>safexchemicals</w:t>
      </w:r>
      <w:r w:rsidR="009F0F97" w:rsidRPr="009F0F97">
        <w:rPr>
          <w:rFonts w:ascii="Times New Roman" w:hAnsi="Times New Roman"/>
          <w:sz w:val="20"/>
          <w:szCs w:val="20"/>
        </w:rPr>
        <w:t>.com</w:t>
      </w:r>
      <w:r>
        <w:rPr>
          <w:rFonts w:ascii="Times New Roman" w:hAnsi="Times New Roman"/>
          <w:sz w:val="20"/>
          <w:szCs w:val="20"/>
        </w:rPr>
        <w:t xml:space="preserve">; </w:t>
      </w:r>
      <w:r w:rsidRPr="00713D90">
        <w:rPr>
          <w:rFonts w:ascii="Times New Roman" w:hAnsi="Times New Roman"/>
          <w:sz w:val="20"/>
          <w:szCs w:val="20"/>
        </w:rPr>
        <w:t>and on the website</w:t>
      </w:r>
      <w:r w:rsidR="0076219B">
        <w:rPr>
          <w:rFonts w:ascii="Times New Roman" w:hAnsi="Times New Roman"/>
          <w:sz w:val="20"/>
          <w:szCs w:val="20"/>
        </w:rPr>
        <w:t>s</w:t>
      </w:r>
      <w:r w:rsidRPr="00713D90">
        <w:rPr>
          <w:rFonts w:ascii="Times New Roman" w:hAnsi="Times New Roman"/>
          <w:sz w:val="20"/>
          <w:szCs w:val="20"/>
        </w:rPr>
        <w:t xml:space="preserve"> of </w:t>
      </w:r>
      <w:r w:rsidR="009F0F97" w:rsidRPr="009F0F97">
        <w:rPr>
          <w:rFonts w:ascii="Times New Roman" w:hAnsi="Times New Roman"/>
          <w:sz w:val="20"/>
          <w:szCs w:val="20"/>
        </w:rPr>
        <w:t xml:space="preserve">Axis Capital Limited </w:t>
      </w:r>
      <w:r w:rsidR="002A3298">
        <w:rPr>
          <w:rFonts w:ascii="Times New Roman" w:hAnsi="Times New Roman"/>
          <w:sz w:val="20"/>
          <w:szCs w:val="20"/>
        </w:rPr>
        <w:t xml:space="preserve">at </w:t>
      </w:r>
      <w:r w:rsidR="009F0F97" w:rsidRPr="009F0F97">
        <w:rPr>
          <w:rFonts w:ascii="Times New Roman" w:hAnsi="Times New Roman"/>
          <w:sz w:val="20"/>
          <w:szCs w:val="20"/>
        </w:rPr>
        <w:t>www.axiscapital.co.in</w:t>
      </w:r>
      <w:r w:rsidR="001D37DB">
        <w:rPr>
          <w:rFonts w:ascii="Times New Roman" w:hAnsi="Times New Roman"/>
          <w:sz w:val="20"/>
          <w:szCs w:val="20"/>
        </w:rPr>
        <w:t>,</w:t>
      </w:r>
      <w:r w:rsidR="002A3298">
        <w:rPr>
          <w:rFonts w:ascii="Times New Roman" w:hAnsi="Times New Roman"/>
          <w:sz w:val="20"/>
          <w:szCs w:val="20"/>
        </w:rPr>
        <w:t xml:space="preserve"> </w:t>
      </w:r>
      <w:r w:rsidR="001D37DB">
        <w:rPr>
          <w:rFonts w:ascii="Times New Roman" w:hAnsi="Times New Roman"/>
          <w:sz w:val="20"/>
          <w:szCs w:val="20"/>
        </w:rPr>
        <w:t>JM Financial Limited</w:t>
      </w:r>
      <w:r w:rsidR="009F0F97">
        <w:rPr>
          <w:rFonts w:ascii="Times New Roman" w:hAnsi="Times New Roman"/>
          <w:sz w:val="20"/>
          <w:szCs w:val="20"/>
        </w:rPr>
        <w:t xml:space="preserve"> </w:t>
      </w:r>
      <w:r w:rsidR="002A3298">
        <w:rPr>
          <w:rFonts w:ascii="Times New Roman" w:hAnsi="Times New Roman"/>
          <w:sz w:val="20"/>
          <w:szCs w:val="20"/>
        </w:rPr>
        <w:t xml:space="preserve">at </w:t>
      </w:r>
      <w:r w:rsidR="001D37DB" w:rsidRPr="001D37DB">
        <w:rPr>
          <w:rFonts w:ascii="Times New Roman" w:hAnsi="Times New Roman"/>
          <w:sz w:val="20"/>
          <w:szCs w:val="20"/>
        </w:rPr>
        <w:t>www.jmfl.com</w:t>
      </w:r>
      <w:r w:rsidR="001D37DB">
        <w:rPr>
          <w:rFonts w:ascii="Times New Roman" w:hAnsi="Times New Roman"/>
          <w:sz w:val="20"/>
          <w:szCs w:val="20"/>
        </w:rPr>
        <w:t xml:space="preserve"> and SBI Capital Markets Limited at www.sbicaps.com</w:t>
      </w:r>
      <w:r w:rsidRPr="00713D90">
        <w:rPr>
          <w:rFonts w:ascii="Times New Roman" w:hAnsi="Times New Roman"/>
          <w:sz w:val="20"/>
          <w:szCs w:val="20"/>
          <w:lang w:val="en-IN"/>
        </w:rPr>
        <w:t>.</w:t>
      </w:r>
      <w:r>
        <w:rPr>
          <w:rFonts w:ascii="Times New Roman" w:hAnsi="Times New Roman"/>
          <w:sz w:val="20"/>
          <w:szCs w:val="20"/>
          <w:lang w:val="en-IN"/>
        </w:rPr>
        <w:t xml:space="preserve"> </w:t>
      </w:r>
    </w:p>
    <w:p w14:paraId="04928BFF" w14:textId="77777777" w:rsidR="001A2826" w:rsidRDefault="001A2826" w:rsidP="001A2826">
      <w:pPr>
        <w:pStyle w:val="Body1"/>
        <w:spacing w:after="0" w:line="240" w:lineRule="auto"/>
        <w:rPr>
          <w:rFonts w:ascii="Times New Roman" w:hAnsi="Times New Roman"/>
          <w:sz w:val="20"/>
          <w:szCs w:val="20"/>
          <w:lang w:val="en-US"/>
        </w:rPr>
      </w:pPr>
    </w:p>
    <w:p w14:paraId="2D9E3754" w14:textId="444ECF56" w:rsidR="00E56208" w:rsidRPr="002B3E9E" w:rsidRDefault="00000000" w:rsidP="001A2826">
      <w:pPr>
        <w:pStyle w:val="Body1"/>
        <w:spacing w:after="0" w:line="240" w:lineRule="auto"/>
        <w:rPr>
          <w:rFonts w:ascii="Times New Roman" w:hAnsi="Times New Roman"/>
          <w:sz w:val="20"/>
          <w:szCs w:val="20"/>
          <w:lang w:val="en-US"/>
        </w:rPr>
      </w:pPr>
      <w:r w:rsidRPr="00432DB0">
        <w:rPr>
          <w:rFonts w:ascii="Times New Roman" w:hAnsi="Times New Roman"/>
          <w:b/>
          <w:bCs/>
          <w:sz w:val="20"/>
          <w:szCs w:val="20"/>
          <w:lang w:val="en-US"/>
        </w:rPr>
        <w:t>THE DRAFT RED HERRING PROSPECTUS IS MADE AVAILABLE ON THIS WEBSITE IN ELECTRONIC FORM SOLELY TO COMPLY WITH THE SECURITIES AND EXCHANGE BOARD OF INDIA (ISSUE OF CAPITAL AND DISCLOSURE REQUIREMENTS) REGULATIONS, 2018, AS AMENDED (“</w:t>
      </w:r>
      <w:r w:rsidRPr="004E5E44">
        <w:rPr>
          <w:rFonts w:ascii="Times New Roman" w:hAnsi="Times New Roman"/>
          <w:b/>
          <w:bCs/>
          <w:sz w:val="20"/>
          <w:szCs w:val="20"/>
          <w:lang w:val="en-US"/>
        </w:rPr>
        <w:t>SEBI ICDR REGULATIONS</w:t>
      </w:r>
      <w:r w:rsidRPr="00432DB0">
        <w:rPr>
          <w:rFonts w:ascii="Times New Roman" w:hAnsi="Times New Roman"/>
          <w:b/>
          <w:bCs/>
          <w:sz w:val="20"/>
          <w:szCs w:val="20"/>
          <w:lang w:val="en-US"/>
        </w:rPr>
        <w:t xml:space="preserve">”). </w:t>
      </w:r>
      <w:r w:rsidR="00427F03" w:rsidRPr="00810EBA">
        <w:rPr>
          <w:rFonts w:ascii="Times New Roman" w:hAnsi="Times New Roman"/>
          <w:b/>
          <w:bCs/>
          <w:sz w:val="20"/>
          <w:szCs w:val="20"/>
          <w:lang w:val="en-US"/>
        </w:rPr>
        <w:t>THE IPO AV IS BEING MADE AVAILABLE ON THIS WEBSITE IN ACCORDANCE WITH</w:t>
      </w:r>
      <w:r w:rsidR="00810EBA">
        <w:rPr>
          <w:rFonts w:ascii="Times New Roman" w:hAnsi="Times New Roman"/>
          <w:b/>
          <w:bCs/>
          <w:sz w:val="20"/>
          <w:szCs w:val="20"/>
          <w:lang w:val="en-US"/>
        </w:rPr>
        <w:t xml:space="preserve"> THE MASTER CIRCULAR ON "ISSUE OF CAPITAL AND DISCLOSURE REQUIREMENTS" DATED NOVEMBER 11, 2024</w:t>
      </w:r>
      <w:r w:rsidR="00427F03" w:rsidRPr="00810EBA">
        <w:rPr>
          <w:rFonts w:ascii="Times New Roman" w:hAnsi="Times New Roman"/>
          <w:b/>
          <w:bCs/>
          <w:sz w:val="20"/>
          <w:szCs w:val="20"/>
          <w:lang w:val="en-US"/>
        </w:rPr>
        <w:t>, ISSUED BY THE SECURITIES AND EXCHANGE BOARD OF INDIA.</w:t>
      </w:r>
      <w:r w:rsidR="00427F03" w:rsidRPr="002B3E9E">
        <w:rPr>
          <w:rFonts w:ascii="Times New Roman" w:hAnsi="Times New Roman"/>
          <w:sz w:val="20"/>
          <w:szCs w:val="20"/>
          <w:lang w:val="en-US"/>
        </w:rPr>
        <w:t xml:space="preserve"> You are advised to read this disclaimer carefully before reading, accessing or making any other use of the IPO AV. In accessing the IPO AV, you agree to be bound by the following terms and conditions, including any modifications to them from time to time. </w:t>
      </w:r>
      <w:r w:rsidR="00111122">
        <w:rPr>
          <w:rFonts w:ascii="Times New Roman" w:hAnsi="Times New Roman"/>
          <w:sz w:val="20"/>
          <w:szCs w:val="20"/>
          <w:lang w:val="en-US"/>
        </w:rPr>
        <w:t xml:space="preserve">The </w:t>
      </w:r>
      <w:r w:rsidR="00427F03" w:rsidRPr="002B3E9E">
        <w:rPr>
          <w:rFonts w:ascii="Times New Roman" w:hAnsi="Times New Roman"/>
          <w:sz w:val="20"/>
          <w:szCs w:val="20"/>
          <w:lang w:val="en-US"/>
        </w:rPr>
        <w:t>IPO AV is directed at, and is intended for distribution to, and use by, residents of India only. The information in th</w:t>
      </w:r>
      <w:r w:rsidR="00111122">
        <w:rPr>
          <w:rFonts w:ascii="Times New Roman" w:hAnsi="Times New Roman"/>
          <w:sz w:val="20"/>
          <w:szCs w:val="20"/>
          <w:lang w:val="en-US"/>
        </w:rPr>
        <w:t>e</w:t>
      </w:r>
      <w:r w:rsidR="00427F03" w:rsidRPr="002B3E9E">
        <w:rPr>
          <w:rFonts w:ascii="Times New Roman" w:hAnsi="Times New Roman"/>
          <w:sz w:val="20"/>
          <w:szCs w:val="20"/>
          <w:lang w:val="en-US"/>
        </w:rPr>
        <w:t xml:space="preserve"> IPO AV, is not intended for, and may not be accessed in or by, or distributed or transmitted in, into or to, directly or indirectly, the United States of America (including its territories and possessions), any state of the </w:t>
      </w:r>
      <w:r w:rsidR="00427F03" w:rsidRPr="0076219B">
        <w:rPr>
          <w:rFonts w:ascii="Times New Roman" w:hAnsi="Times New Roman"/>
          <w:sz w:val="20"/>
          <w:szCs w:val="20"/>
          <w:lang w:val="en-US"/>
        </w:rPr>
        <w:t>United States</w:t>
      </w:r>
      <w:r w:rsidR="00427F03" w:rsidRPr="002B3E9E">
        <w:rPr>
          <w:rFonts w:ascii="Times New Roman" w:hAnsi="Times New Roman"/>
          <w:sz w:val="20"/>
          <w:szCs w:val="20"/>
          <w:lang w:val="en-US"/>
        </w:rPr>
        <w:t xml:space="preserve"> or any other jurisdiction where it is unlawful to do so. All persons residing outside of the United States who wish to access the IPO AV contained on the following page of this website</w:t>
      </w:r>
      <w:r w:rsidR="00D873CA">
        <w:rPr>
          <w:rFonts w:ascii="Times New Roman" w:hAnsi="Times New Roman"/>
          <w:sz w:val="20"/>
          <w:szCs w:val="20"/>
          <w:lang w:val="en-US"/>
        </w:rPr>
        <w:t>,</w:t>
      </w:r>
      <w:r w:rsidR="00427F03" w:rsidRPr="002B3E9E">
        <w:rPr>
          <w:rFonts w:ascii="Times New Roman" w:hAnsi="Times New Roman"/>
          <w:sz w:val="20"/>
          <w:szCs w:val="20"/>
          <w:lang w:val="en-US"/>
        </w:rPr>
        <w:t xml:space="preserve"> should first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29BD6AFB" w14:textId="77777777" w:rsidR="00E56208" w:rsidRPr="002B3E9E" w:rsidRDefault="00E56208" w:rsidP="001A2826">
      <w:pPr>
        <w:pStyle w:val="Body1"/>
        <w:spacing w:after="0" w:line="240" w:lineRule="auto"/>
        <w:rPr>
          <w:rFonts w:ascii="Times New Roman" w:hAnsi="Times New Roman"/>
          <w:sz w:val="20"/>
          <w:szCs w:val="20"/>
          <w:lang w:val="en-US"/>
        </w:rPr>
      </w:pPr>
    </w:p>
    <w:p w14:paraId="5E9293AA" w14:textId="1631E998" w:rsidR="00E56208" w:rsidRPr="009F0F97" w:rsidRDefault="00000000" w:rsidP="009F0F97">
      <w:pPr>
        <w:widowControl w:val="0"/>
        <w:tabs>
          <w:tab w:val="left" w:pos="1031"/>
        </w:tabs>
        <w:autoSpaceDE w:val="0"/>
        <w:autoSpaceDN w:val="0"/>
        <w:adjustRightInd w:val="0"/>
        <w:jc w:val="both"/>
        <w:rPr>
          <w:sz w:val="20"/>
          <w:szCs w:val="20"/>
          <w:lang w:eastAsia="en-GB"/>
        </w:rPr>
      </w:pPr>
      <w:r w:rsidRPr="002B3E9E">
        <w:rPr>
          <w:sz w:val="20"/>
          <w:szCs w:val="20"/>
        </w:rPr>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sz w:val="20"/>
          <w:szCs w:val="20"/>
        </w:rPr>
        <w:t xml:space="preserve"> </w:t>
      </w:r>
      <w:r w:rsidR="009F0F97" w:rsidRPr="009F0F97">
        <w:rPr>
          <w:rFonts w:eastAsia="Calibri"/>
          <w:sz w:val="20"/>
          <w:szCs w:val="20"/>
          <w:lang w:val="en-GB"/>
        </w:rPr>
        <w:t>The Equity Shares offered in the Offer have not been and will not be registered under the U.S. Securities Act of 1933, as amended (the “</w:t>
      </w:r>
      <w:r w:rsidR="009F0F97" w:rsidRPr="009F0F97">
        <w:rPr>
          <w:rFonts w:eastAsia="Calibri"/>
          <w:b/>
          <w:bCs/>
          <w:sz w:val="20"/>
          <w:szCs w:val="20"/>
          <w:lang w:val="en-GB"/>
        </w:rPr>
        <w:t>U.S. Securities Act</w:t>
      </w:r>
      <w:r w:rsidR="009F0F97" w:rsidRPr="009F0F97">
        <w:rPr>
          <w:rFonts w:eastAsia="Calibri"/>
          <w:sz w:val="20"/>
          <w:szCs w:val="20"/>
          <w:lang w:val="en-GB"/>
        </w:rPr>
        <w:t>”), or any state securities laws in the United States, and unless so registered, may not be offered or sold within the United States, except pursuant to an exemption from, or in a transaction not subject to, the registration requirements of the U.S. Securities Act and in accordance with any applicable U.S. state securities laws. Accordingly, the Equity Shares are being offered and sold only outside the United States in ‘offshore transactions’ in compliance with Regulation S under the U.S. Securities Act and the applicable laws of the jurisdictions where such offers and sales are made.</w:t>
      </w:r>
      <w:r w:rsidR="009F0F97">
        <w:rPr>
          <w:sz w:val="20"/>
          <w:szCs w:val="20"/>
          <w:lang w:eastAsia="en-GB"/>
        </w:rPr>
        <w:t xml:space="preserve"> </w:t>
      </w:r>
      <w:r w:rsidRPr="002B3E9E">
        <w:rPr>
          <w:sz w:val="20"/>
          <w:szCs w:val="20"/>
        </w:rPr>
        <w:t>No public offering of the Equity Shares or other securities is being made in the United States.</w:t>
      </w:r>
    </w:p>
    <w:p w14:paraId="5A474B38" w14:textId="77777777" w:rsidR="009F0F97" w:rsidRDefault="009F0F97" w:rsidP="001A2826">
      <w:pPr>
        <w:pStyle w:val="Body1"/>
        <w:spacing w:after="0" w:line="240" w:lineRule="auto"/>
        <w:rPr>
          <w:rFonts w:ascii="Times New Roman" w:hAnsi="Times New Roman"/>
          <w:sz w:val="20"/>
          <w:szCs w:val="20"/>
          <w:lang w:val="en-US"/>
        </w:rPr>
      </w:pPr>
    </w:p>
    <w:p w14:paraId="570F91EA" w14:textId="13DB2C83"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IPO AV does not constitute, and should not be construed as, “general solicitation” or “general advertising” as defined under Regulation D of the U.S. Securities Act, or “directed selling efforts” under Regulation S</w:t>
      </w:r>
      <w:r w:rsidR="00D873CA">
        <w:rPr>
          <w:rFonts w:ascii="Times New Roman" w:hAnsi="Times New Roman"/>
          <w:sz w:val="20"/>
          <w:szCs w:val="20"/>
          <w:lang w:val="en-US"/>
        </w:rPr>
        <w:t xml:space="preserve"> </w:t>
      </w:r>
      <w:r w:rsidR="00D873CA" w:rsidRPr="000711A3">
        <w:rPr>
          <w:rFonts w:ascii="Times New Roman" w:hAnsi="Times New Roman"/>
          <w:sz w:val="20"/>
          <w:szCs w:val="20"/>
          <w:lang w:eastAsia="en-IN"/>
        </w:rPr>
        <w:t>of the U.S. Securities Act</w:t>
      </w:r>
      <w:r w:rsidRPr="002B3E9E">
        <w:rPr>
          <w:rFonts w:ascii="Times New Roman" w:hAnsi="Times New Roman"/>
          <w:sz w:val="20"/>
          <w:szCs w:val="20"/>
          <w:lang w:val="en-US"/>
        </w:rPr>
        <w:t>.</w:t>
      </w:r>
    </w:p>
    <w:p w14:paraId="0B5DB18D" w14:textId="77777777" w:rsidR="00E56208" w:rsidRPr="002B3E9E" w:rsidRDefault="00E56208" w:rsidP="001A2826">
      <w:pPr>
        <w:pStyle w:val="Body1"/>
        <w:spacing w:after="0" w:line="240" w:lineRule="auto"/>
        <w:rPr>
          <w:rFonts w:ascii="Times New Roman" w:hAnsi="Times New Roman"/>
          <w:sz w:val="20"/>
          <w:szCs w:val="20"/>
          <w:lang w:val="en-US"/>
        </w:rPr>
      </w:pPr>
    </w:p>
    <w:p w14:paraId="23AADBC1" w14:textId="57A1A0E9" w:rsidR="00E56208"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The Company, and </w:t>
      </w:r>
      <w:r w:rsidR="009F0F97" w:rsidRPr="009F0F97">
        <w:rPr>
          <w:rFonts w:ascii="Times New Roman" w:hAnsi="Times New Roman"/>
          <w:sz w:val="20"/>
          <w:szCs w:val="20"/>
        </w:rPr>
        <w:t>Axis Capital Limited</w:t>
      </w:r>
      <w:r w:rsidR="001D37DB">
        <w:rPr>
          <w:rFonts w:ascii="Times New Roman" w:hAnsi="Times New Roman"/>
          <w:sz w:val="20"/>
          <w:szCs w:val="20"/>
        </w:rPr>
        <w:t>, JM Financial Limited and SBI Capital Markets Limited</w:t>
      </w:r>
      <w:r w:rsidR="004C0FB6">
        <w:rPr>
          <w:rFonts w:ascii="Times New Roman" w:hAnsi="Times New Roman"/>
          <w:sz w:val="20"/>
          <w:szCs w:val="20"/>
        </w:rPr>
        <w:t xml:space="preserve"> </w:t>
      </w:r>
      <w:r w:rsidRPr="002B3E9E">
        <w:rPr>
          <w:rFonts w:ascii="Times New Roman" w:hAnsi="Times New Roman"/>
          <w:sz w:val="20"/>
          <w:szCs w:val="20"/>
          <w:lang w:val="en-US"/>
        </w:rPr>
        <w:t>(collectively, the “</w:t>
      </w:r>
      <w:r w:rsidRPr="009A5A44">
        <w:rPr>
          <w:rFonts w:ascii="Times New Roman" w:hAnsi="Times New Roman"/>
          <w:b/>
          <w:bCs/>
          <w:sz w:val="20"/>
          <w:szCs w:val="20"/>
          <w:lang w:val="en-US"/>
        </w:rPr>
        <w:t>Book Running Lead Managers</w:t>
      </w:r>
      <w:r w:rsidRPr="002B3E9E">
        <w:rPr>
          <w:rFonts w:ascii="Times New Roman" w:hAnsi="Times New Roman"/>
          <w:sz w:val="20"/>
          <w:szCs w:val="20"/>
          <w:lang w:val="en-US"/>
        </w:rPr>
        <w:t xml:space="preserve">”) and their respective affiliates, directors, officers, agents, representatives, advisers and employees do not accept any liability whatsoever, direct or indirect, that may arise from the use of the information contained on this website. The information in the IPO AV is as of the date thereof and neither the </w:t>
      </w:r>
      <w:r w:rsidRPr="002B3E9E">
        <w:rPr>
          <w:rFonts w:ascii="Times New Roman" w:hAnsi="Times New Roman"/>
          <w:sz w:val="20"/>
          <w:szCs w:val="20"/>
          <w:lang w:val="en-US"/>
        </w:rPr>
        <w:lastRenderedPageBreak/>
        <w:t>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Promoter</w:t>
      </w:r>
      <w:r w:rsidR="004C0FB6">
        <w:rPr>
          <w:rFonts w:ascii="Times New Roman" w:hAnsi="Times New Roman"/>
          <w:sz w:val="20"/>
          <w:szCs w:val="20"/>
          <w:lang w:val="en-US"/>
        </w:rPr>
        <w:t>s</w:t>
      </w:r>
      <w:r w:rsidR="003443D5">
        <w:rPr>
          <w:rFonts w:ascii="Times New Roman" w:hAnsi="Times New Roman"/>
          <w:sz w:val="20"/>
          <w:szCs w:val="20"/>
          <w:lang w:val="en-US"/>
        </w:rPr>
        <w:t xml:space="preserve">, </w:t>
      </w:r>
      <w:r w:rsidR="00B73A6F">
        <w:rPr>
          <w:rFonts w:ascii="Times New Roman" w:hAnsi="Times New Roman"/>
          <w:sz w:val="20"/>
          <w:szCs w:val="20"/>
          <w:lang w:val="en-US"/>
        </w:rPr>
        <w:t xml:space="preserve">the Selling Shareholder, </w:t>
      </w:r>
      <w:r w:rsidRPr="002B3E9E">
        <w:rPr>
          <w:rFonts w:ascii="Times New Roman" w:hAnsi="Times New Roman"/>
          <w:sz w:val="20"/>
          <w:szCs w:val="20"/>
          <w:lang w:val="en-US"/>
        </w:rPr>
        <w:t xml:space="preserve">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w:t>
      </w:r>
      <w:r w:rsidR="00B73A6F">
        <w:rPr>
          <w:rFonts w:ascii="Times New Roman" w:hAnsi="Times New Roman"/>
          <w:sz w:val="20"/>
          <w:szCs w:val="20"/>
          <w:lang w:val="en-US"/>
        </w:rPr>
        <w:t xml:space="preserve">the Selling Shareholder, </w:t>
      </w:r>
      <w:r w:rsidRPr="002B3E9E">
        <w:rPr>
          <w:rFonts w:ascii="Times New Roman" w:hAnsi="Times New Roman"/>
          <w:sz w:val="20"/>
          <w:szCs w:val="20"/>
          <w:lang w:val="en-US"/>
        </w:rPr>
        <w:t>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05F0DABE" w14:textId="77777777" w:rsidR="000D6101" w:rsidRDefault="000D6101" w:rsidP="001A2826">
      <w:pPr>
        <w:pStyle w:val="Body1"/>
        <w:spacing w:after="0" w:line="240" w:lineRule="auto"/>
        <w:rPr>
          <w:rFonts w:ascii="Times New Roman" w:hAnsi="Times New Roman"/>
          <w:sz w:val="20"/>
          <w:szCs w:val="20"/>
          <w:lang w:val="en-US"/>
        </w:rPr>
      </w:pPr>
    </w:p>
    <w:p w14:paraId="66B8C133" w14:textId="2B0696A7" w:rsidR="000D6101" w:rsidRPr="002B3E9E" w:rsidRDefault="00000000" w:rsidP="001A2826">
      <w:pPr>
        <w:pStyle w:val="Body1"/>
        <w:spacing w:after="0" w:line="240" w:lineRule="auto"/>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B73A6F">
        <w:rPr>
          <w:rFonts w:ascii="Times New Roman" w:hAnsi="Times New Roman"/>
          <w:sz w:val="20"/>
          <w:szCs w:val="20"/>
        </w:rPr>
        <w:t>Offer</w:t>
      </w:r>
      <w:r w:rsidR="00B73A6F" w:rsidRPr="00E3576D">
        <w:rPr>
          <w:rFonts w:ascii="Times New Roman" w:hAnsi="Times New Roman"/>
          <w:sz w:val="20"/>
          <w:szCs w:val="20"/>
        </w:rPr>
        <w:t xml:space="preserve"> </w:t>
      </w:r>
      <w:r w:rsidRPr="00E3576D">
        <w:rPr>
          <w:rFonts w:ascii="Times New Roman" w:hAnsi="Times New Roman"/>
          <w:sz w:val="20"/>
          <w:szCs w:val="20"/>
        </w:rPr>
        <w:t>on the internet/ websites/ social media platforms/ micro-blogging platforms and by finfluencers</w:t>
      </w:r>
      <w:r w:rsidR="00CE3EAA">
        <w:rPr>
          <w:rFonts w:ascii="Times New Roman" w:hAnsi="Times New Roman"/>
          <w:sz w:val="20"/>
          <w:szCs w:val="20"/>
        </w:rPr>
        <w:t>/ influencers</w:t>
      </w:r>
      <w:r w:rsidRPr="00E3576D">
        <w:rPr>
          <w:rFonts w:ascii="Times New Roman" w:hAnsi="Times New Roman"/>
          <w:sz w:val="20"/>
          <w:szCs w:val="20"/>
        </w:rPr>
        <w:t xml:space="preserve"> since the same is not authorized/ approved/ commissioned/ paid by the Company or its Promoter</w:t>
      </w:r>
      <w:r w:rsidR="004C0FB6">
        <w:rPr>
          <w:rFonts w:ascii="Times New Roman" w:hAnsi="Times New Roman"/>
          <w:sz w:val="20"/>
          <w:szCs w:val="20"/>
        </w:rPr>
        <w:t>s</w:t>
      </w:r>
      <w:r w:rsidRPr="00E3576D">
        <w:rPr>
          <w:rFonts w:ascii="Times New Roman" w:hAnsi="Times New Roman"/>
          <w:sz w:val="20"/>
          <w:szCs w:val="20"/>
        </w:rPr>
        <w:t>/Directors/KMPs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r w:rsidR="00CE3EAA">
        <w:rPr>
          <w:rFonts w:ascii="Times New Roman" w:hAnsi="Times New Roman"/>
          <w:sz w:val="20"/>
          <w:szCs w:val="20"/>
        </w:rPr>
        <w:t xml:space="preserve"> </w:t>
      </w:r>
      <w:r w:rsidR="00CE3EAA" w:rsidRPr="00FF269F">
        <w:rPr>
          <w:rFonts w:ascii="Times New Roman" w:hAnsi="Times New Roman"/>
          <w:sz w:val="20"/>
          <w:szCs w:val="20"/>
        </w:rPr>
        <w:t>I</w:t>
      </w:r>
      <w:r w:rsidR="00CE3EAA" w:rsidRPr="00A43D36">
        <w:rPr>
          <w:rFonts w:ascii="Times New Roman" w:hAnsi="Times New Roman"/>
          <w:sz w:val="20"/>
          <w:szCs w:val="20"/>
        </w:rPr>
        <w:t>nvestors are advised to rely only on the information contained in the Offer document and Price Band Advertisement for making investment decision</w:t>
      </w:r>
      <w:r w:rsidR="00CE3EAA">
        <w:rPr>
          <w:rFonts w:ascii="Times New Roman" w:hAnsi="Times New Roman"/>
          <w:sz w:val="20"/>
          <w:szCs w:val="20"/>
        </w:rPr>
        <w:t>.</w:t>
      </w:r>
    </w:p>
    <w:p w14:paraId="30F6256D" w14:textId="77777777" w:rsidR="00E56208" w:rsidRPr="002B3E9E" w:rsidRDefault="00E56208" w:rsidP="001A2826">
      <w:pPr>
        <w:pStyle w:val="Body1"/>
        <w:spacing w:after="0" w:line="240" w:lineRule="auto"/>
        <w:rPr>
          <w:rFonts w:ascii="Times New Roman" w:hAnsi="Times New Roman"/>
          <w:sz w:val="20"/>
          <w:szCs w:val="20"/>
          <w:lang w:val="en-US"/>
        </w:rPr>
      </w:pPr>
    </w:p>
    <w:p w14:paraId="488DA0B3" w14:textId="364A968B"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Any potential investor should note that investment in equity shares involves a high degree of risk and for details relating to such risks, see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 Potential investors should also refer to the Prospectus which will be filed with the</w:t>
      </w:r>
      <w:r w:rsidR="00112B29">
        <w:rPr>
          <w:rFonts w:ascii="Times New Roman" w:hAnsi="Times New Roman"/>
          <w:sz w:val="20"/>
          <w:szCs w:val="20"/>
          <w:lang w:val="en-US"/>
        </w:rPr>
        <w:t xml:space="preserve"> </w:t>
      </w:r>
      <w:r w:rsidR="00112B29" w:rsidRPr="00112B29">
        <w:rPr>
          <w:rFonts w:ascii="Times New Roman" w:hAnsi="Times New Roman"/>
          <w:sz w:val="20"/>
          <w:szCs w:val="20"/>
        </w:rPr>
        <w:t xml:space="preserve">Registrar of Companies, </w:t>
      </w:r>
      <w:r w:rsidR="009F0F97" w:rsidRPr="009F0F97">
        <w:rPr>
          <w:rFonts w:ascii="Times New Roman" w:hAnsi="Times New Roman"/>
          <w:sz w:val="20"/>
          <w:szCs w:val="20"/>
        </w:rPr>
        <w:t>Delhi and Haryana at New Delhi</w:t>
      </w:r>
      <w:r w:rsidRPr="002B3E9E">
        <w:rPr>
          <w:rFonts w:ascii="Times New Roman" w:hAnsi="Times New Roman"/>
          <w:sz w:val="20"/>
          <w:szCs w:val="20"/>
          <w:lang w:val="en-US"/>
        </w:rPr>
        <w:t xml:space="preserve"> </w:t>
      </w:r>
      <w:r w:rsidR="00112B29">
        <w:rPr>
          <w:rFonts w:ascii="Times New Roman" w:hAnsi="Times New Roman"/>
          <w:sz w:val="20"/>
          <w:szCs w:val="20"/>
          <w:lang w:val="en-US"/>
        </w:rPr>
        <w:t>(“</w:t>
      </w:r>
      <w:r w:rsidRPr="001645D1">
        <w:rPr>
          <w:rFonts w:ascii="Times New Roman" w:hAnsi="Times New Roman"/>
          <w:b/>
          <w:bCs/>
          <w:sz w:val="20"/>
          <w:szCs w:val="20"/>
          <w:lang w:val="en-US"/>
        </w:rPr>
        <w:t>RoC</w:t>
      </w:r>
      <w:r w:rsidR="00112B29">
        <w:rPr>
          <w:rFonts w:ascii="Times New Roman" w:hAnsi="Times New Roman"/>
          <w:sz w:val="20"/>
          <w:szCs w:val="20"/>
          <w:lang w:val="en-US"/>
        </w:rPr>
        <w:t>”)</w:t>
      </w:r>
      <w:r w:rsidRPr="002B3E9E">
        <w:rPr>
          <w:rFonts w:ascii="Times New Roman" w:hAnsi="Times New Roman"/>
          <w:sz w:val="20"/>
          <w:szCs w:val="20"/>
          <w:lang w:val="en-US"/>
        </w:rPr>
        <w:t xml:space="preserve"> and SEBI in the future, including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xml:space="preserve">”. </w:t>
      </w:r>
      <w:r w:rsidR="00B73A6F" w:rsidRPr="002B3E9E">
        <w:rPr>
          <w:rFonts w:ascii="Times New Roman" w:hAnsi="Times New Roman"/>
          <w:sz w:val="20"/>
          <w:szCs w:val="20"/>
          <w:lang w:val="en-US"/>
        </w:rPr>
        <w:t xml:space="preserve">Potential investors should </w:t>
      </w:r>
      <w:r w:rsidR="00B73A6F">
        <w:rPr>
          <w:rFonts w:ascii="Times New Roman" w:hAnsi="Times New Roman"/>
          <w:sz w:val="20"/>
          <w:szCs w:val="20"/>
          <w:lang w:val="en-US"/>
        </w:rPr>
        <w:t xml:space="preserve">not rely on the DRHP filed with the SEBI.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provides only the salient features of the </w:t>
      </w:r>
      <w:r w:rsidR="00B73A6F">
        <w:rPr>
          <w:rFonts w:ascii="Times New Roman" w:hAnsi="Times New Roman"/>
          <w:sz w:val="20"/>
          <w:szCs w:val="20"/>
          <w:lang w:val="en-US"/>
        </w:rPr>
        <w:t xml:space="preserve">Offer </w:t>
      </w:r>
      <w:r w:rsidRPr="002B3E9E">
        <w:rPr>
          <w:rFonts w:ascii="Times New Roman" w:hAnsi="Times New Roman"/>
          <w:sz w:val="20"/>
          <w:szCs w:val="20"/>
          <w:lang w:val="en-US"/>
        </w:rPr>
        <w:t xml:space="preserve">and accordingly, potential investors should not rely on the IPO AV. Any decision on whether to invest in the </w:t>
      </w:r>
      <w:r w:rsidR="00B73A6F">
        <w:rPr>
          <w:rFonts w:ascii="Times New Roman" w:hAnsi="Times New Roman"/>
          <w:sz w:val="20"/>
          <w:szCs w:val="20"/>
          <w:lang w:val="en-US"/>
        </w:rPr>
        <w:t>E</w:t>
      </w:r>
      <w:r w:rsidRPr="002B3E9E">
        <w:rPr>
          <w:rFonts w:ascii="Times New Roman" w:hAnsi="Times New Roman"/>
          <w:sz w:val="20"/>
          <w:szCs w:val="20"/>
          <w:lang w:val="en-US"/>
        </w:rPr>
        <w:t xml:space="preserve">quity </w:t>
      </w:r>
      <w:r w:rsidR="00B73A6F">
        <w:rPr>
          <w:rFonts w:ascii="Times New Roman" w:hAnsi="Times New Roman"/>
          <w:sz w:val="20"/>
          <w:szCs w:val="20"/>
          <w:lang w:val="en-US"/>
        </w:rPr>
        <w:t>S</w:t>
      </w:r>
      <w:r w:rsidRPr="002B3E9E">
        <w:rPr>
          <w:rFonts w:ascii="Times New Roman" w:hAnsi="Times New Roman"/>
          <w:sz w:val="20"/>
          <w:szCs w:val="20"/>
          <w:lang w:val="en-US"/>
        </w:rPr>
        <w:t>hares must be made solely on the basis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w:t>
      </w:r>
    </w:p>
    <w:p w14:paraId="7C5ACB37" w14:textId="77777777" w:rsidR="00E56208" w:rsidRPr="002B3E9E" w:rsidRDefault="00E56208" w:rsidP="001A2826">
      <w:pPr>
        <w:pStyle w:val="Body1"/>
        <w:spacing w:after="0" w:line="240" w:lineRule="auto"/>
        <w:rPr>
          <w:rFonts w:ascii="Times New Roman" w:hAnsi="Times New Roman"/>
          <w:sz w:val="20"/>
          <w:szCs w:val="20"/>
          <w:lang w:val="en-US"/>
        </w:rPr>
      </w:pPr>
    </w:p>
    <w:p w14:paraId="37F43396" w14:textId="667E3626"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risk and it is your responsibility to take precautions to ensure that it is free from viruses. Neither the Company, </w:t>
      </w:r>
      <w:r w:rsidR="00B73A6F">
        <w:rPr>
          <w:rFonts w:ascii="Times New Roman" w:hAnsi="Times New Roman"/>
          <w:sz w:val="20"/>
          <w:szCs w:val="20"/>
          <w:lang w:val="en-US"/>
        </w:rPr>
        <w:t xml:space="preserve">the </w:t>
      </w:r>
      <w:r w:rsidR="00DC2284">
        <w:rPr>
          <w:rFonts w:ascii="Times New Roman" w:hAnsi="Times New Roman"/>
          <w:sz w:val="20"/>
          <w:szCs w:val="20"/>
          <w:lang w:val="en-US"/>
        </w:rPr>
        <w:t>Promoter</w:t>
      </w:r>
      <w:r w:rsidR="004C0FB6">
        <w:rPr>
          <w:rFonts w:ascii="Times New Roman" w:hAnsi="Times New Roman"/>
          <w:sz w:val="20"/>
          <w:szCs w:val="20"/>
          <w:lang w:val="en-US"/>
        </w:rPr>
        <w:t>s</w:t>
      </w:r>
      <w:r w:rsidR="00DC2284">
        <w:rPr>
          <w:rFonts w:ascii="Times New Roman" w:hAnsi="Times New Roman"/>
          <w:sz w:val="20"/>
          <w:szCs w:val="20"/>
          <w:lang w:val="en-US"/>
        </w:rPr>
        <w:t xml:space="preserve">, </w:t>
      </w:r>
      <w:r w:rsidR="00B73A6F">
        <w:rPr>
          <w:rFonts w:ascii="Times New Roman" w:hAnsi="Times New Roman"/>
          <w:sz w:val="20"/>
          <w:szCs w:val="20"/>
          <w:lang w:val="en-US"/>
        </w:rPr>
        <w:t xml:space="preserve">the Selling Shareholder, </w:t>
      </w:r>
      <w:r w:rsidRPr="002B3E9E">
        <w:rPr>
          <w:rFonts w:ascii="Times New Roman" w:hAnsi="Times New Roman"/>
          <w:sz w:val="20"/>
          <w:szCs w:val="20"/>
          <w:lang w:val="en-US"/>
        </w:rPr>
        <w:t>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2E6BC77A" w14:textId="77777777" w:rsidR="00E56208" w:rsidRPr="002B3E9E" w:rsidRDefault="00E56208" w:rsidP="001A2826">
      <w:pPr>
        <w:pStyle w:val="Body1"/>
        <w:spacing w:after="0" w:line="240" w:lineRule="auto"/>
        <w:rPr>
          <w:rFonts w:ascii="Times New Roman" w:hAnsi="Times New Roman"/>
          <w:sz w:val="20"/>
          <w:szCs w:val="20"/>
          <w:lang w:val="en-US"/>
        </w:rPr>
      </w:pPr>
    </w:p>
    <w:p w14:paraId="0FF8E697" w14:textId="7161D5BD"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website does not constitute a part of the IPO AV.</w:t>
      </w:r>
    </w:p>
    <w:p w14:paraId="1C42A150" w14:textId="77777777" w:rsidR="00E56208" w:rsidRPr="002B3E9E" w:rsidRDefault="00E56208" w:rsidP="001A2826">
      <w:pPr>
        <w:pStyle w:val="Body1"/>
        <w:spacing w:after="0" w:line="240" w:lineRule="auto"/>
        <w:rPr>
          <w:rFonts w:ascii="Times New Roman" w:hAnsi="Times New Roman"/>
          <w:sz w:val="20"/>
          <w:szCs w:val="20"/>
          <w:lang w:val="en-US"/>
        </w:rPr>
      </w:pPr>
    </w:p>
    <w:p w14:paraId="43332C7D" w14:textId="77777777"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05BE65C3" w14:textId="77777777" w:rsidR="00E56208" w:rsidRPr="002B3E9E" w:rsidRDefault="00E56208" w:rsidP="001A2826">
      <w:pPr>
        <w:pStyle w:val="Body1"/>
        <w:spacing w:after="0" w:line="240" w:lineRule="auto"/>
        <w:rPr>
          <w:rFonts w:ascii="Times New Roman" w:hAnsi="Times New Roman"/>
          <w:sz w:val="20"/>
          <w:szCs w:val="20"/>
          <w:lang w:val="en-US"/>
        </w:rPr>
      </w:pPr>
    </w:p>
    <w:p w14:paraId="74528C74" w14:textId="77777777"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To access this information, you must confirm, by pressing on the button marked “I Confirm”, that at the time of access, you are located in India. If you cannot make this confirmation, you must press the button marked “I Do Not Confirm”.</w:t>
      </w:r>
    </w:p>
    <w:p w14:paraId="1DE33B33" w14:textId="77777777" w:rsidR="00E56208" w:rsidRPr="002B3E9E" w:rsidRDefault="00E56208" w:rsidP="001A2826">
      <w:pPr>
        <w:pStyle w:val="Body1"/>
        <w:spacing w:after="0" w:line="240" w:lineRule="auto"/>
        <w:rPr>
          <w:rFonts w:ascii="Times New Roman" w:hAnsi="Times New Roman"/>
          <w:sz w:val="20"/>
          <w:szCs w:val="20"/>
          <w:lang w:val="en-US"/>
        </w:rPr>
      </w:pPr>
    </w:p>
    <w:p w14:paraId="482F29C6" w14:textId="0A02664F" w:rsidR="00E56208" w:rsidRPr="002B3E9E" w:rsidRDefault="0000000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default" r:id="rId7"/>
      <w:footerReference w:type="default" r:id="rId8"/>
      <w:headerReference w:type="first" r:id="rId9"/>
      <w:footerReference w:type="first" r:id="rId1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D75D" w14:textId="77777777" w:rsidR="00696071" w:rsidRDefault="00696071">
      <w:r>
        <w:separator/>
      </w:r>
    </w:p>
  </w:endnote>
  <w:endnote w:type="continuationSeparator" w:id="0">
    <w:p w14:paraId="12D8AA25" w14:textId="77777777" w:rsidR="00696071" w:rsidRDefault="0069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7151" w14:textId="77777777" w:rsidR="00F903F3" w:rsidRDefault="00F903F3" w:rsidP="00325E49">
    <w:pPr>
      <w:pStyle w:val="Footer"/>
    </w:pPr>
  </w:p>
  <w:p w14:paraId="3C781AE6" w14:textId="77777777" w:rsidR="00F903F3" w:rsidRDefault="00000000" w:rsidP="00325E49">
    <w:pPr>
      <w:pStyle w:val="Footer"/>
    </w:pPr>
    <w:sdt>
      <w:sdtPr>
        <w:alias w:val="DocID"/>
        <w:tag w:val="DocID"/>
        <w:id w:val="1506560089"/>
        <w:text/>
      </w:sdtPr>
      <w:sdtContent>
        <w:r w:rsidR="000711A3">
          <w:t xml:space="preserve">     </w:t>
        </w:r>
      </w:sdtContent>
    </w:sdt>
    <w:r w:rsidR="000711A3">
      <w:tab/>
    </w:r>
    <w:r w:rsidR="000711A3">
      <w:tab/>
    </w:r>
    <w:sdt>
      <w:sdtPr>
        <w:alias w:val="Firm name"/>
        <w:tag w:val="FirmName"/>
        <w:id w:val="-448084639"/>
        <w:showingPlcHdr/>
        <w:text/>
      </w:sdtPr>
      <w:sdtContent/>
    </w:sdt>
  </w:p>
  <w:p w14:paraId="66ACC7BD"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85D5" w14:textId="77777777" w:rsidR="00F903F3" w:rsidRDefault="00F903F3" w:rsidP="00C46C82">
    <w:pPr>
      <w:pStyle w:val="Footer"/>
    </w:pPr>
  </w:p>
  <w:p w14:paraId="57BD2055" w14:textId="77777777" w:rsidR="00F903F3" w:rsidRDefault="00000000" w:rsidP="00C46C82">
    <w:pPr>
      <w:pStyle w:val="Footer"/>
    </w:pPr>
    <w:sdt>
      <w:sdtPr>
        <w:alias w:val="DocID"/>
        <w:tag w:val="DocID"/>
        <w:id w:val="-1417707420"/>
        <w:text/>
      </w:sdtPr>
      <w:sdtContent>
        <w:r w:rsidR="000711A3">
          <w:t xml:space="preserve">     </w:t>
        </w:r>
      </w:sdtContent>
    </w:sdt>
    <w:r w:rsidR="000711A3">
      <w:tab/>
    </w:r>
    <w:r w:rsidR="000711A3">
      <w:tab/>
    </w:r>
    <w:sdt>
      <w:sdtPr>
        <w:alias w:val="Firm name"/>
        <w:tag w:val="FirmName"/>
        <w:id w:val="-565877776"/>
        <w:showingPlcHdr/>
        <w:text/>
      </w:sdtPr>
      <w:sdtContent/>
    </w:sdt>
  </w:p>
  <w:p w14:paraId="0D8E428F"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20B1" w14:textId="77777777" w:rsidR="00696071" w:rsidRDefault="00696071">
      <w:r>
        <w:separator/>
      </w:r>
    </w:p>
  </w:footnote>
  <w:footnote w:type="continuationSeparator" w:id="0">
    <w:p w14:paraId="060BE2BA" w14:textId="77777777" w:rsidR="00696071" w:rsidRDefault="0069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3F7" w14:textId="77777777" w:rsidR="00AF4E83" w:rsidRDefault="00000000"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AD1" w14:textId="275013C7" w:rsidR="006A01FF" w:rsidRPr="006A01FF" w:rsidRDefault="006A01FF" w:rsidP="006A01FF">
    <w:pPr>
      <w:pStyle w:val="Header"/>
      <w:jc w:val="right"/>
      <w:rPr>
        <w:i/>
        <w:iCs/>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E93A1CBC">
      <w:start w:val="1"/>
      <w:numFmt w:val="upperLetter"/>
      <w:pStyle w:val="Recitals"/>
      <w:lvlText w:val="(%1)"/>
      <w:lvlJc w:val="left"/>
      <w:pPr>
        <w:tabs>
          <w:tab w:val="num" w:pos="709"/>
        </w:tabs>
        <w:ind w:left="709" w:hanging="709"/>
      </w:pPr>
      <w:rPr>
        <w:rFonts w:hint="default"/>
      </w:rPr>
    </w:lvl>
    <w:lvl w:ilvl="1" w:tplc="B89A9C82" w:tentative="1">
      <w:start w:val="1"/>
      <w:numFmt w:val="lowerLetter"/>
      <w:lvlText w:val="%2."/>
      <w:lvlJc w:val="left"/>
      <w:pPr>
        <w:tabs>
          <w:tab w:val="num" w:pos="1440"/>
        </w:tabs>
        <w:ind w:left="1440" w:hanging="360"/>
      </w:pPr>
    </w:lvl>
    <w:lvl w:ilvl="2" w:tplc="BF9EAA3C" w:tentative="1">
      <w:start w:val="1"/>
      <w:numFmt w:val="lowerRoman"/>
      <w:lvlText w:val="%3."/>
      <w:lvlJc w:val="right"/>
      <w:pPr>
        <w:tabs>
          <w:tab w:val="num" w:pos="2160"/>
        </w:tabs>
        <w:ind w:left="2160" w:hanging="180"/>
      </w:pPr>
    </w:lvl>
    <w:lvl w:ilvl="3" w:tplc="7256ED62" w:tentative="1">
      <w:start w:val="1"/>
      <w:numFmt w:val="decimal"/>
      <w:lvlText w:val="%4."/>
      <w:lvlJc w:val="left"/>
      <w:pPr>
        <w:tabs>
          <w:tab w:val="num" w:pos="2880"/>
        </w:tabs>
        <w:ind w:left="2880" w:hanging="360"/>
      </w:pPr>
    </w:lvl>
    <w:lvl w:ilvl="4" w:tplc="6446427C" w:tentative="1">
      <w:start w:val="1"/>
      <w:numFmt w:val="lowerLetter"/>
      <w:lvlText w:val="%5."/>
      <w:lvlJc w:val="left"/>
      <w:pPr>
        <w:tabs>
          <w:tab w:val="num" w:pos="3600"/>
        </w:tabs>
        <w:ind w:left="3600" w:hanging="360"/>
      </w:pPr>
    </w:lvl>
    <w:lvl w:ilvl="5" w:tplc="1B3634F8" w:tentative="1">
      <w:start w:val="1"/>
      <w:numFmt w:val="lowerRoman"/>
      <w:lvlText w:val="%6."/>
      <w:lvlJc w:val="right"/>
      <w:pPr>
        <w:tabs>
          <w:tab w:val="num" w:pos="4320"/>
        </w:tabs>
        <w:ind w:left="4320" w:hanging="180"/>
      </w:pPr>
    </w:lvl>
    <w:lvl w:ilvl="6" w:tplc="9AB8020E" w:tentative="1">
      <w:start w:val="1"/>
      <w:numFmt w:val="decimal"/>
      <w:lvlText w:val="%7."/>
      <w:lvlJc w:val="left"/>
      <w:pPr>
        <w:tabs>
          <w:tab w:val="num" w:pos="5040"/>
        </w:tabs>
        <w:ind w:left="5040" w:hanging="360"/>
      </w:pPr>
    </w:lvl>
    <w:lvl w:ilvl="7" w:tplc="55249A78" w:tentative="1">
      <w:start w:val="1"/>
      <w:numFmt w:val="lowerLetter"/>
      <w:lvlText w:val="%8."/>
      <w:lvlJc w:val="left"/>
      <w:pPr>
        <w:tabs>
          <w:tab w:val="num" w:pos="5760"/>
        </w:tabs>
        <w:ind w:left="5760" w:hanging="360"/>
      </w:pPr>
    </w:lvl>
    <w:lvl w:ilvl="8" w:tplc="6B0AC438"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16EA897C">
      <w:start w:val="1"/>
      <w:numFmt w:val="decimal"/>
      <w:pStyle w:val="TOC4"/>
      <w:lvlText w:val="%1."/>
      <w:lvlJc w:val="left"/>
      <w:pPr>
        <w:ind w:left="360" w:hanging="360"/>
      </w:pPr>
      <w:rPr>
        <w:rFonts w:ascii="Arial Bold" w:hAnsi="Arial Bold" w:hint="default"/>
        <w:b/>
        <w:i w:val="0"/>
        <w:sz w:val="21"/>
      </w:rPr>
    </w:lvl>
    <w:lvl w:ilvl="1" w:tplc="E3DE56E6" w:tentative="1">
      <w:start w:val="1"/>
      <w:numFmt w:val="lowerLetter"/>
      <w:lvlText w:val="%2."/>
      <w:lvlJc w:val="left"/>
      <w:pPr>
        <w:ind w:left="3566" w:hanging="360"/>
      </w:pPr>
    </w:lvl>
    <w:lvl w:ilvl="2" w:tplc="211A27DA" w:tentative="1">
      <w:start w:val="1"/>
      <w:numFmt w:val="lowerRoman"/>
      <w:lvlText w:val="%3."/>
      <w:lvlJc w:val="right"/>
      <w:pPr>
        <w:ind w:left="4286" w:hanging="180"/>
      </w:pPr>
    </w:lvl>
    <w:lvl w:ilvl="3" w:tplc="317845CA" w:tentative="1">
      <w:start w:val="1"/>
      <w:numFmt w:val="decimal"/>
      <w:lvlText w:val="%4."/>
      <w:lvlJc w:val="left"/>
      <w:pPr>
        <w:ind w:left="5006" w:hanging="360"/>
      </w:pPr>
    </w:lvl>
    <w:lvl w:ilvl="4" w:tplc="EAAC5008" w:tentative="1">
      <w:start w:val="1"/>
      <w:numFmt w:val="lowerLetter"/>
      <w:lvlText w:val="%5."/>
      <w:lvlJc w:val="left"/>
      <w:pPr>
        <w:ind w:left="5726" w:hanging="360"/>
      </w:pPr>
    </w:lvl>
    <w:lvl w:ilvl="5" w:tplc="9A1486B2" w:tentative="1">
      <w:start w:val="1"/>
      <w:numFmt w:val="lowerRoman"/>
      <w:lvlText w:val="%6."/>
      <w:lvlJc w:val="right"/>
      <w:pPr>
        <w:ind w:left="6446" w:hanging="180"/>
      </w:pPr>
    </w:lvl>
    <w:lvl w:ilvl="6" w:tplc="F6CEDA4E" w:tentative="1">
      <w:start w:val="1"/>
      <w:numFmt w:val="decimal"/>
      <w:lvlText w:val="%7."/>
      <w:lvlJc w:val="left"/>
      <w:pPr>
        <w:ind w:left="7166" w:hanging="360"/>
      </w:pPr>
    </w:lvl>
    <w:lvl w:ilvl="7" w:tplc="A37EAC22" w:tentative="1">
      <w:start w:val="1"/>
      <w:numFmt w:val="lowerLetter"/>
      <w:lvlText w:val="%8."/>
      <w:lvlJc w:val="left"/>
      <w:pPr>
        <w:ind w:left="7886" w:hanging="360"/>
      </w:pPr>
    </w:lvl>
    <w:lvl w:ilvl="8" w:tplc="190E952C"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D2EECC8">
      <w:start w:val="1"/>
      <w:numFmt w:val="decimal"/>
      <w:pStyle w:val="Parties"/>
      <w:lvlText w:val="(%1)"/>
      <w:lvlJc w:val="left"/>
      <w:pPr>
        <w:tabs>
          <w:tab w:val="num" w:pos="709"/>
        </w:tabs>
        <w:ind w:left="709" w:hanging="709"/>
      </w:pPr>
      <w:rPr>
        <w:rFonts w:hint="default"/>
      </w:rPr>
    </w:lvl>
    <w:lvl w:ilvl="1" w:tplc="3A14850E" w:tentative="1">
      <w:start w:val="1"/>
      <w:numFmt w:val="lowerLetter"/>
      <w:lvlText w:val="%2."/>
      <w:lvlJc w:val="left"/>
      <w:pPr>
        <w:tabs>
          <w:tab w:val="num" w:pos="1440"/>
        </w:tabs>
        <w:ind w:left="1440" w:hanging="360"/>
      </w:pPr>
    </w:lvl>
    <w:lvl w:ilvl="2" w:tplc="FBDA8A68" w:tentative="1">
      <w:start w:val="1"/>
      <w:numFmt w:val="lowerRoman"/>
      <w:lvlText w:val="%3."/>
      <w:lvlJc w:val="right"/>
      <w:pPr>
        <w:tabs>
          <w:tab w:val="num" w:pos="2160"/>
        </w:tabs>
        <w:ind w:left="2160" w:hanging="180"/>
      </w:pPr>
    </w:lvl>
    <w:lvl w:ilvl="3" w:tplc="31FE61F0" w:tentative="1">
      <w:start w:val="1"/>
      <w:numFmt w:val="decimal"/>
      <w:lvlText w:val="%4."/>
      <w:lvlJc w:val="left"/>
      <w:pPr>
        <w:tabs>
          <w:tab w:val="num" w:pos="2880"/>
        </w:tabs>
        <w:ind w:left="2880" w:hanging="360"/>
      </w:pPr>
    </w:lvl>
    <w:lvl w:ilvl="4" w:tplc="D3420F24" w:tentative="1">
      <w:start w:val="1"/>
      <w:numFmt w:val="lowerLetter"/>
      <w:lvlText w:val="%5."/>
      <w:lvlJc w:val="left"/>
      <w:pPr>
        <w:tabs>
          <w:tab w:val="num" w:pos="3600"/>
        </w:tabs>
        <w:ind w:left="3600" w:hanging="360"/>
      </w:pPr>
    </w:lvl>
    <w:lvl w:ilvl="5" w:tplc="51F81F1A" w:tentative="1">
      <w:start w:val="1"/>
      <w:numFmt w:val="lowerRoman"/>
      <w:lvlText w:val="%6."/>
      <w:lvlJc w:val="right"/>
      <w:pPr>
        <w:tabs>
          <w:tab w:val="num" w:pos="4320"/>
        </w:tabs>
        <w:ind w:left="4320" w:hanging="180"/>
      </w:pPr>
    </w:lvl>
    <w:lvl w:ilvl="6" w:tplc="896C8580" w:tentative="1">
      <w:start w:val="1"/>
      <w:numFmt w:val="decimal"/>
      <w:lvlText w:val="%7."/>
      <w:lvlJc w:val="left"/>
      <w:pPr>
        <w:tabs>
          <w:tab w:val="num" w:pos="5040"/>
        </w:tabs>
        <w:ind w:left="5040" w:hanging="360"/>
      </w:pPr>
    </w:lvl>
    <w:lvl w:ilvl="7" w:tplc="1950636E" w:tentative="1">
      <w:start w:val="1"/>
      <w:numFmt w:val="lowerLetter"/>
      <w:lvlText w:val="%8."/>
      <w:lvlJc w:val="left"/>
      <w:pPr>
        <w:tabs>
          <w:tab w:val="num" w:pos="5760"/>
        </w:tabs>
        <w:ind w:left="5760" w:hanging="360"/>
      </w:pPr>
    </w:lvl>
    <w:lvl w:ilvl="8" w:tplc="EBE44702"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5B38ECA4">
      <w:start w:val="1"/>
      <w:numFmt w:val="decimal"/>
      <w:lvlText w:val="%1."/>
      <w:lvlJc w:val="left"/>
      <w:pPr>
        <w:ind w:left="720" w:hanging="360"/>
      </w:pPr>
      <w:rPr>
        <w:rFonts w:hint="default"/>
        <w:b/>
        <w:i w:val="0"/>
      </w:rPr>
    </w:lvl>
    <w:lvl w:ilvl="1" w:tplc="F44C87A4" w:tentative="1">
      <w:start w:val="1"/>
      <w:numFmt w:val="lowerLetter"/>
      <w:lvlText w:val="%2."/>
      <w:lvlJc w:val="left"/>
      <w:pPr>
        <w:ind w:left="1440" w:hanging="360"/>
      </w:pPr>
    </w:lvl>
    <w:lvl w:ilvl="2" w:tplc="14881B6A" w:tentative="1">
      <w:start w:val="1"/>
      <w:numFmt w:val="lowerRoman"/>
      <w:lvlText w:val="%3."/>
      <w:lvlJc w:val="right"/>
      <w:pPr>
        <w:ind w:left="2160" w:hanging="180"/>
      </w:pPr>
    </w:lvl>
    <w:lvl w:ilvl="3" w:tplc="2A02DFDC" w:tentative="1">
      <w:start w:val="1"/>
      <w:numFmt w:val="decimal"/>
      <w:lvlText w:val="%4."/>
      <w:lvlJc w:val="left"/>
      <w:pPr>
        <w:ind w:left="2880" w:hanging="360"/>
      </w:pPr>
    </w:lvl>
    <w:lvl w:ilvl="4" w:tplc="B8D8CB98" w:tentative="1">
      <w:start w:val="1"/>
      <w:numFmt w:val="lowerLetter"/>
      <w:lvlText w:val="%5."/>
      <w:lvlJc w:val="left"/>
      <w:pPr>
        <w:ind w:left="3600" w:hanging="360"/>
      </w:pPr>
    </w:lvl>
    <w:lvl w:ilvl="5" w:tplc="F97469CE" w:tentative="1">
      <w:start w:val="1"/>
      <w:numFmt w:val="lowerRoman"/>
      <w:lvlText w:val="%6."/>
      <w:lvlJc w:val="right"/>
      <w:pPr>
        <w:ind w:left="4320" w:hanging="180"/>
      </w:pPr>
    </w:lvl>
    <w:lvl w:ilvl="6" w:tplc="5FB2BF9C" w:tentative="1">
      <w:start w:val="1"/>
      <w:numFmt w:val="decimal"/>
      <w:lvlText w:val="%7."/>
      <w:lvlJc w:val="left"/>
      <w:pPr>
        <w:ind w:left="5040" w:hanging="360"/>
      </w:pPr>
    </w:lvl>
    <w:lvl w:ilvl="7" w:tplc="61D45AB6" w:tentative="1">
      <w:start w:val="1"/>
      <w:numFmt w:val="lowerLetter"/>
      <w:lvlText w:val="%8."/>
      <w:lvlJc w:val="left"/>
      <w:pPr>
        <w:ind w:left="5760" w:hanging="360"/>
      </w:pPr>
    </w:lvl>
    <w:lvl w:ilvl="8" w:tplc="58A40112" w:tentative="1">
      <w:start w:val="1"/>
      <w:numFmt w:val="lowerRoman"/>
      <w:lvlText w:val="%9."/>
      <w:lvlJc w:val="right"/>
      <w:pPr>
        <w:ind w:left="6480" w:hanging="180"/>
      </w:pPr>
    </w:lvl>
  </w:abstractNum>
  <w:num w:numId="1" w16cid:durableId="90245719">
    <w:abstractNumId w:val="10"/>
  </w:num>
  <w:num w:numId="2" w16cid:durableId="1976762417">
    <w:abstractNumId w:val="13"/>
  </w:num>
  <w:num w:numId="3" w16cid:durableId="330451880">
    <w:abstractNumId w:val="16"/>
  </w:num>
  <w:num w:numId="4" w16cid:durableId="599871641">
    <w:abstractNumId w:val="11"/>
  </w:num>
  <w:num w:numId="5" w16cid:durableId="1870606731">
    <w:abstractNumId w:val="14"/>
  </w:num>
  <w:num w:numId="6" w16cid:durableId="405761902">
    <w:abstractNumId w:val="9"/>
  </w:num>
  <w:num w:numId="7" w16cid:durableId="572934261">
    <w:abstractNumId w:val="7"/>
  </w:num>
  <w:num w:numId="8" w16cid:durableId="1403454478">
    <w:abstractNumId w:val="6"/>
  </w:num>
  <w:num w:numId="9" w16cid:durableId="447050533">
    <w:abstractNumId w:val="5"/>
  </w:num>
  <w:num w:numId="10" w16cid:durableId="1630093399">
    <w:abstractNumId w:val="4"/>
  </w:num>
  <w:num w:numId="11" w16cid:durableId="1380205340">
    <w:abstractNumId w:val="8"/>
  </w:num>
  <w:num w:numId="12" w16cid:durableId="1432891041">
    <w:abstractNumId w:val="3"/>
  </w:num>
  <w:num w:numId="13" w16cid:durableId="1400327618">
    <w:abstractNumId w:val="2"/>
  </w:num>
  <w:num w:numId="14" w16cid:durableId="904922597">
    <w:abstractNumId w:val="1"/>
  </w:num>
  <w:num w:numId="15" w16cid:durableId="2007129109">
    <w:abstractNumId w:val="0"/>
  </w:num>
  <w:num w:numId="16" w16cid:durableId="1982222216">
    <w:abstractNumId w:val="12"/>
  </w:num>
  <w:num w:numId="17" w16cid:durableId="19451872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1A3"/>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23916"/>
    <w:rsid w:val="00131922"/>
    <w:rsid w:val="00134AE3"/>
    <w:rsid w:val="0013711B"/>
    <w:rsid w:val="00146892"/>
    <w:rsid w:val="001645D1"/>
    <w:rsid w:val="00164A05"/>
    <w:rsid w:val="001913C1"/>
    <w:rsid w:val="001A2826"/>
    <w:rsid w:val="001B4F9F"/>
    <w:rsid w:val="001C3695"/>
    <w:rsid w:val="001D37DB"/>
    <w:rsid w:val="001D7CCC"/>
    <w:rsid w:val="00210FBF"/>
    <w:rsid w:val="002213B5"/>
    <w:rsid w:val="00225252"/>
    <w:rsid w:val="0024132A"/>
    <w:rsid w:val="00247E76"/>
    <w:rsid w:val="0025196A"/>
    <w:rsid w:val="0027059F"/>
    <w:rsid w:val="0027476A"/>
    <w:rsid w:val="00284B7B"/>
    <w:rsid w:val="00284EA4"/>
    <w:rsid w:val="00296DBD"/>
    <w:rsid w:val="002A3298"/>
    <w:rsid w:val="002B3E9E"/>
    <w:rsid w:val="002C0B79"/>
    <w:rsid w:val="002C45F2"/>
    <w:rsid w:val="002C6598"/>
    <w:rsid w:val="002D6180"/>
    <w:rsid w:val="00325E49"/>
    <w:rsid w:val="003354A8"/>
    <w:rsid w:val="003443D5"/>
    <w:rsid w:val="00350F94"/>
    <w:rsid w:val="00354458"/>
    <w:rsid w:val="00362D12"/>
    <w:rsid w:val="003A37FD"/>
    <w:rsid w:val="003C4058"/>
    <w:rsid w:val="003C4640"/>
    <w:rsid w:val="003D19AA"/>
    <w:rsid w:val="003D599E"/>
    <w:rsid w:val="003E4347"/>
    <w:rsid w:val="004069C0"/>
    <w:rsid w:val="00412CE6"/>
    <w:rsid w:val="00427F03"/>
    <w:rsid w:val="004318BF"/>
    <w:rsid w:val="00432DB0"/>
    <w:rsid w:val="00436B0E"/>
    <w:rsid w:val="00443C4F"/>
    <w:rsid w:val="00445CC3"/>
    <w:rsid w:val="00447D6F"/>
    <w:rsid w:val="004564F5"/>
    <w:rsid w:val="00460539"/>
    <w:rsid w:val="00467D0D"/>
    <w:rsid w:val="00474065"/>
    <w:rsid w:val="00486920"/>
    <w:rsid w:val="004A6740"/>
    <w:rsid w:val="004B05D7"/>
    <w:rsid w:val="004C0FB6"/>
    <w:rsid w:val="004C31F3"/>
    <w:rsid w:val="004E5E44"/>
    <w:rsid w:val="005045A9"/>
    <w:rsid w:val="00521D74"/>
    <w:rsid w:val="005427ED"/>
    <w:rsid w:val="00547D7B"/>
    <w:rsid w:val="00563D29"/>
    <w:rsid w:val="00567E4D"/>
    <w:rsid w:val="005750C7"/>
    <w:rsid w:val="00586325"/>
    <w:rsid w:val="005867F1"/>
    <w:rsid w:val="005A2820"/>
    <w:rsid w:val="005B636B"/>
    <w:rsid w:val="005C48DA"/>
    <w:rsid w:val="005C58DF"/>
    <w:rsid w:val="005D7A96"/>
    <w:rsid w:val="005E64D0"/>
    <w:rsid w:val="005F2BF6"/>
    <w:rsid w:val="005F30A9"/>
    <w:rsid w:val="00611F80"/>
    <w:rsid w:val="00615756"/>
    <w:rsid w:val="00631605"/>
    <w:rsid w:val="0063519A"/>
    <w:rsid w:val="00637CE7"/>
    <w:rsid w:val="00641981"/>
    <w:rsid w:val="00650E3C"/>
    <w:rsid w:val="0066349C"/>
    <w:rsid w:val="00664EC6"/>
    <w:rsid w:val="00665A5B"/>
    <w:rsid w:val="00671861"/>
    <w:rsid w:val="00684203"/>
    <w:rsid w:val="00696071"/>
    <w:rsid w:val="006A01FF"/>
    <w:rsid w:val="006E1EA1"/>
    <w:rsid w:val="007043FC"/>
    <w:rsid w:val="00713D90"/>
    <w:rsid w:val="0076219B"/>
    <w:rsid w:val="00790859"/>
    <w:rsid w:val="007B159D"/>
    <w:rsid w:val="007C03F7"/>
    <w:rsid w:val="007D10E8"/>
    <w:rsid w:val="007D4683"/>
    <w:rsid w:val="007F7895"/>
    <w:rsid w:val="007F7F66"/>
    <w:rsid w:val="00810EBA"/>
    <w:rsid w:val="00822317"/>
    <w:rsid w:val="00826150"/>
    <w:rsid w:val="00827FF9"/>
    <w:rsid w:val="008305D6"/>
    <w:rsid w:val="00836488"/>
    <w:rsid w:val="008660CB"/>
    <w:rsid w:val="00876524"/>
    <w:rsid w:val="008A4246"/>
    <w:rsid w:val="008B2806"/>
    <w:rsid w:val="008C15DB"/>
    <w:rsid w:val="008C4103"/>
    <w:rsid w:val="008C77D5"/>
    <w:rsid w:val="009116E3"/>
    <w:rsid w:val="00911B48"/>
    <w:rsid w:val="00926C53"/>
    <w:rsid w:val="0095152E"/>
    <w:rsid w:val="009515B0"/>
    <w:rsid w:val="00957028"/>
    <w:rsid w:val="00966A7F"/>
    <w:rsid w:val="009A1F3C"/>
    <w:rsid w:val="009A5A44"/>
    <w:rsid w:val="009B2F07"/>
    <w:rsid w:val="009B7FC4"/>
    <w:rsid w:val="009D24F1"/>
    <w:rsid w:val="009E5624"/>
    <w:rsid w:val="009F0F97"/>
    <w:rsid w:val="009F3AA9"/>
    <w:rsid w:val="009F407B"/>
    <w:rsid w:val="009F5E0D"/>
    <w:rsid w:val="00A11298"/>
    <w:rsid w:val="00A23128"/>
    <w:rsid w:val="00A446D5"/>
    <w:rsid w:val="00A47C60"/>
    <w:rsid w:val="00A534AD"/>
    <w:rsid w:val="00A54CED"/>
    <w:rsid w:val="00A73B2A"/>
    <w:rsid w:val="00A747FE"/>
    <w:rsid w:val="00AA422A"/>
    <w:rsid w:val="00AB2BC5"/>
    <w:rsid w:val="00AC67C2"/>
    <w:rsid w:val="00AD2466"/>
    <w:rsid w:val="00AE6229"/>
    <w:rsid w:val="00AF2F6C"/>
    <w:rsid w:val="00AF4E83"/>
    <w:rsid w:val="00B512E2"/>
    <w:rsid w:val="00B64053"/>
    <w:rsid w:val="00B73A6F"/>
    <w:rsid w:val="00B8026E"/>
    <w:rsid w:val="00BC5F86"/>
    <w:rsid w:val="00BE7F58"/>
    <w:rsid w:val="00BF1406"/>
    <w:rsid w:val="00BF6223"/>
    <w:rsid w:val="00C05BB4"/>
    <w:rsid w:val="00C10D16"/>
    <w:rsid w:val="00C1247B"/>
    <w:rsid w:val="00C25254"/>
    <w:rsid w:val="00C266C0"/>
    <w:rsid w:val="00C372A1"/>
    <w:rsid w:val="00C40C31"/>
    <w:rsid w:val="00C43E27"/>
    <w:rsid w:val="00C46C82"/>
    <w:rsid w:val="00C65A2B"/>
    <w:rsid w:val="00C732B4"/>
    <w:rsid w:val="00C77C6E"/>
    <w:rsid w:val="00C8006E"/>
    <w:rsid w:val="00C86DD7"/>
    <w:rsid w:val="00C958F2"/>
    <w:rsid w:val="00C96286"/>
    <w:rsid w:val="00CC10E7"/>
    <w:rsid w:val="00CD1BF3"/>
    <w:rsid w:val="00CD3C44"/>
    <w:rsid w:val="00CE2D50"/>
    <w:rsid w:val="00CE3EAA"/>
    <w:rsid w:val="00CE7735"/>
    <w:rsid w:val="00D03D1D"/>
    <w:rsid w:val="00D03ED5"/>
    <w:rsid w:val="00D17215"/>
    <w:rsid w:val="00D22A74"/>
    <w:rsid w:val="00D2538C"/>
    <w:rsid w:val="00D25E01"/>
    <w:rsid w:val="00D304E8"/>
    <w:rsid w:val="00D310C4"/>
    <w:rsid w:val="00D3508E"/>
    <w:rsid w:val="00D36988"/>
    <w:rsid w:val="00D67411"/>
    <w:rsid w:val="00D70947"/>
    <w:rsid w:val="00D873CA"/>
    <w:rsid w:val="00DB3BF4"/>
    <w:rsid w:val="00DB4683"/>
    <w:rsid w:val="00DB60B0"/>
    <w:rsid w:val="00DC11C1"/>
    <w:rsid w:val="00DC2284"/>
    <w:rsid w:val="00DE129D"/>
    <w:rsid w:val="00DE3288"/>
    <w:rsid w:val="00DE3A4D"/>
    <w:rsid w:val="00DF0E09"/>
    <w:rsid w:val="00DF3BAC"/>
    <w:rsid w:val="00E32F50"/>
    <w:rsid w:val="00E3576D"/>
    <w:rsid w:val="00E45680"/>
    <w:rsid w:val="00E56208"/>
    <w:rsid w:val="00E6040A"/>
    <w:rsid w:val="00E61F2A"/>
    <w:rsid w:val="00E87571"/>
    <w:rsid w:val="00E9015E"/>
    <w:rsid w:val="00EA2AFD"/>
    <w:rsid w:val="00EB06F3"/>
    <w:rsid w:val="00ED08A9"/>
    <w:rsid w:val="00EE5E05"/>
    <w:rsid w:val="00EF5418"/>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954E9"/>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90"/>
    <w:pPr>
      <w:spacing w:line="240" w:lineRule="auto"/>
      <w:jc w:val="left"/>
    </w:pPr>
    <w:rPr>
      <w:rFonts w:ascii="Times New Roman" w:hAnsi="Times New Roman"/>
      <w:sz w:val="22"/>
      <w:szCs w:val="24"/>
      <w:lang w:val="en-US" w:eastAsia="en-U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line="264" w:lineRule="auto"/>
      <w:jc w:val="both"/>
      <w:outlineLvl w:val="4"/>
    </w:pPr>
    <w:rPr>
      <w:rFonts w:ascii="Arial" w:eastAsia="Arial Unicode MS" w:hAnsi="Arial"/>
      <w:szCs w:val="21"/>
      <w:lang w:val="en-GB" w:eastAsia="en-GB"/>
    </w:rPr>
  </w:style>
  <w:style w:type="paragraph" w:styleId="Heading6">
    <w:name w:val="heading 6"/>
    <w:basedOn w:val="Normal"/>
    <w:next w:val="Normal"/>
    <w:uiPriority w:val="16"/>
    <w:semiHidden/>
    <w:qFormat/>
    <w:pPr>
      <w:spacing w:before="240" w:after="60" w:line="264" w:lineRule="auto"/>
      <w:jc w:val="both"/>
      <w:outlineLvl w:val="5"/>
    </w:pPr>
    <w:rPr>
      <w:rFonts w:eastAsia="Arial Unicode MS"/>
      <w:i/>
      <w:szCs w:val="21"/>
      <w:lang w:val="en-GB" w:eastAsia="en-GB"/>
    </w:rPr>
  </w:style>
  <w:style w:type="paragraph" w:styleId="Heading7">
    <w:name w:val="heading 7"/>
    <w:basedOn w:val="Normal"/>
    <w:next w:val="Normal"/>
    <w:uiPriority w:val="16"/>
    <w:semiHidden/>
    <w:qFormat/>
    <w:pPr>
      <w:spacing w:before="240" w:after="60" w:line="264" w:lineRule="auto"/>
      <w:jc w:val="both"/>
      <w:outlineLvl w:val="6"/>
    </w:pPr>
    <w:rPr>
      <w:rFonts w:ascii="Arial" w:eastAsia="Arial Unicode MS" w:hAnsi="Arial"/>
      <w:sz w:val="20"/>
      <w:szCs w:val="21"/>
      <w:lang w:val="en-GB" w:eastAsia="en-GB"/>
    </w:rPr>
  </w:style>
  <w:style w:type="paragraph" w:styleId="Heading8">
    <w:name w:val="heading 8"/>
    <w:basedOn w:val="Normal"/>
    <w:next w:val="Normal"/>
    <w:uiPriority w:val="16"/>
    <w:semiHidden/>
    <w:qFormat/>
    <w:pPr>
      <w:spacing w:before="240" w:after="60" w:line="264" w:lineRule="auto"/>
      <w:jc w:val="both"/>
      <w:outlineLvl w:val="7"/>
    </w:pPr>
    <w:rPr>
      <w:rFonts w:ascii="Arial" w:eastAsia="Arial Unicode MS" w:hAnsi="Arial"/>
      <w:i/>
      <w:sz w:val="20"/>
      <w:szCs w:val="21"/>
      <w:lang w:val="en-GB" w:eastAsia="en-GB"/>
    </w:rPr>
  </w:style>
  <w:style w:type="paragraph" w:styleId="Heading9">
    <w:name w:val="heading 9"/>
    <w:basedOn w:val="Normal"/>
    <w:next w:val="Normal"/>
    <w:uiPriority w:val="16"/>
    <w:semiHidden/>
    <w:qFormat/>
    <w:pPr>
      <w:spacing w:before="240" w:after="60" w:line="264" w:lineRule="auto"/>
      <w:jc w:val="both"/>
      <w:outlineLvl w:val="8"/>
    </w:pPr>
    <w:rPr>
      <w:rFonts w:ascii="Arial" w:eastAsia="Arial Unicode MS" w:hAnsi="Arial"/>
      <w:b/>
      <w:i/>
      <w:sz w:val="18"/>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spacing w:line="264" w:lineRule="auto"/>
    </w:pPr>
    <w:rPr>
      <w:rFonts w:ascii="Arial" w:eastAsia="Arial Unicode MS" w:hAnsi="Arial"/>
      <w:sz w:val="16"/>
      <w:szCs w:val="21"/>
      <w:lang w:val="en-GB"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spacing w:line="264" w:lineRule="auto"/>
      <w:ind w:left="720" w:hanging="720"/>
      <w:jc w:val="both"/>
    </w:pPr>
    <w:rPr>
      <w:rFonts w:ascii="Arial" w:eastAsia="Arial Unicode MS" w:hAnsi="Arial"/>
      <w:sz w:val="16"/>
      <w:szCs w:val="21"/>
      <w:lang w:val="en-GB" w:eastAsia="en-GB"/>
    </w:rPr>
  </w:style>
  <w:style w:type="paragraph" w:styleId="Header">
    <w:name w:val="header"/>
    <w:basedOn w:val="Normal"/>
    <w:link w:val="HeaderChar"/>
    <w:uiPriority w:val="13"/>
    <w:unhideWhenUsed/>
    <w:pPr>
      <w:tabs>
        <w:tab w:val="center" w:pos="4536"/>
        <w:tab w:val="right" w:pos="9072"/>
      </w:tabs>
      <w:spacing w:line="264" w:lineRule="auto"/>
      <w:jc w:val="both"/>
    </w:pPr>
    <w:rPr>
      <w:rFonts w:ascii="Arial" w:eastAsia="Arial Unicode MS" w:hAnsi="Arial"/>
      <w:sz w:val="21"/>
      <w:szCs w:val="21"/>
      <w:lang w:val="en-GB" w:eastAsia="en-GB"/>
    </w:r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BlockText">
    <w:name w:val="Block Text"/>
    <w:basedOn w:val="Normal"/>
    <w:uiPriority w:val="17"/>
    <w:semiHidden/>
    <w:pPr>
      <w:spacing w:after="120" w:line="264" w:lineRule="auto"/>
      <w:ind w:left="1440" w:right="1440"/>
      <w:jc w:val="both"/>
    </w:pPr>
    <w:rPr>
      <w:rFonts w:ascii="Arial" w:eastAsia="Arial Unicode MS" w:hAnsi="Arial"/>
      <w:sz w:val="21"/>
      <w:szCs w:val="21"/>
      <w:lang w:val="en-GB" w:eastAsia="en-GB"/>
    </w:rPr>
  </w:style>
  <w:style w:type="paragraph" w:styleId="BodyText">
    <w:name w:val="Body Text"/>
    <w:basedOn w:val="Normal"/>
    <w:uiPriority w:val="17"/>
    <w:semiHidden/>
    <w:pPr>
      <w:spacing w:after="120" w:line="264" w:lineRule="auto"/>
      <w:jc w:val="both"/>
    </w:pPr>
    <w:rPr>
      <w:rFonts w:ascii="Arial" w:eastAsia="Arial Unicode MS" w:hAnsi="Arial"/>
      <w:sz w:val="21"/>
      <w:szCs w:val="21"/>
      <w:lang w:val="en-GB" w:eastAsia="en-GB"/>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jc w:val="both"/>
    </w:pPr>
    <w:rPr>
      <w:rFonts w:ascii="Arial" w:eastAsia="Arial Unicode MS" w:hAnsi="Arial"/>
      <w:sz w:val="21"/>
      <w:szCs w:val="21"/>
      <w:lang w:val="en-GB" w:eastAsia="en-GB"/>
    </w:rPr>
  </w:style>
  <w:style w:type="paragraph" w:styleId="BodyText3">
    <w:name w:val="Body Text 3"/>
    <w:basedOn w:val="Normal"/>
    <w:uiPriority w:val="17"/>
    <w:semiHidden/>
    <w:pPr>
      <w:spacing w:after="120" w:line="264" w:lineRule="auto"/>
      <w:jc w:val="both"/>
    </w:pPr>
    <w:rPr>
      <w:rFonts w:ascii="Arial" w:eastAsia="Arial Unicode MS" w:hAnsi="Arial"/>
      <w:sz w:val="16"/>
      <w:szCs w:val="21"/>
      <w:lang w:val="en-GB" w:eastAsia="en-GB"/>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line="264" w:lineRule="auto"/>
      <w:ind w:left="283"/>
      <w:jc w:val="both"/>
    </w:pPr>
    <w:rPr>
      <w:rFonts w:ascii="Arial" w:eastAsia="Arial Unicode MS" w:hAnsi="Arial"/>
      <w:sz w:val="21"/>
      <w:szCs w:val="21"/>
      <w:lang w:val="en-GB" w:eastAsia="en-GB"/>
    </w:r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jc w:val="both"/>
    </w:pPr>
    <w:rPr>
      <w:rFonts w:ascii="Arial" w:eastAsia="Arial Unicode MS" w:hAnsi="Arial"/>
      <w:sz w:val="21"/>
      <w:szCs w:val="21"/>
      <w:lang w:val="en-GB" w:eastAsia="en-GB"/>
    </w:rPr>
  </w:style>
  <w:style w:type="paragraph" w:styleId="BodyTextIndent3">
    <w:name w:val="Body Text Indent 3"/>
    <w:basedOn w:val="Normal"/>
    <w:uiPriority w:val="17"/>
    <w:semiHidden/>
    <w:pPr>
      <w:spacing w:after="120" w:line="264" w:lineRule="auto"/>
      <w:ind w:left="283"/>
      <w:jc w:val="both"/>
    </w:pPr>
    <w:rPr>
      <w:rFonts w:ascii="Arial" w:eastAsia="Arial Unicode MS" w:hAnsi="Arial"/>
      <w:sz w:val="16"/>
      <w:szCs w:val="21"/>
      <w:lang w:val="en-GB" w:eastAsia="en-GB"/>
    </w:rPr>
  </w:style>
  <w:style w:type="paragraph" w:styleId="Caption">
    <w:name w:val="caption"/>
    <w:basedOn w:val="Normal"/>
    <w:next w:val="Normal"/>
    <w:uiPriority w:val="17"/>
    <w:unhideWhenUsed/>
    <w:pPr>
      <w:spacing w:before="120" w:after="120" w:line="264" w:lineRule="auto"/>
      <w:jc w:val="both"/>
    </w:pPr>
    <w:rPr>
      <w:rFonts w:ascii="Arial" w:eastAsia="Arial Unicode MS" w:hAnsi="Arial"/>
      <w:b/>
      <w:sz w:val="21"/>
      <w:szCs w:val="21"/>
      <w:lang w:val="en-GB" w:eastAsia="en-GB"/>
    </w:rPr>
  </w:style>
  <w:style w:type="paragraph" w:styleId="Closing">
    <w:name w:val="Closing"/>
    <w:basedOn w:val="Normal"/>
    <w:uiPriority w:val="17"/>
    <w:semiHidden/>
    <w:pPr>
      <w:spacing w:line="264" w:lineRule="auto"/>
      <w:ind w:left="4252"/>
      <w:jc w:val="both"/>
    </w:pPr>
    <w:rPr>
      <w:rFonts w:ascii="Arial" w:eastAsia="Arial Unicode MS" w:hAnsi="Arial"/>
      <w:sz w:val="21"/>
      <w:szCs w:val="21"/>
      <w:lang w:val="en-GB" w:eastAsia="en-GB"/>
    </w:r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pPr>
      <w:spacing w:line="264" w:lineRule="auto"/>
      <w:jc w:val="both"/>
    </w:pPr>
    <w:rPr>
      <w:rFonts w:ascii="Arial" w:eastAsia="Arial Unicode MS" w:hAnsi="Arial"/>
      <w:sz w:val="20"/>
      <w:szCs w:val="21"/>
      <w:lang w:val="en-GB" w:eastAsia="en-GB"/>
    </w:rPr>
  </w:style>
  <w:style w:type="paragraph" w:styleId="Date">
    <w:name w:val="Date"/>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DocumentMap">
    <w:name w:val="Document Map"/>
    <w:basedOn w:val="Normal"/>
    <w:uiPriority w:val="17"/>
    <w:semiHidden/>
    <w:pPr>
      <w:shd w:val="clear" w:color="auto" w:fill="000080"/>
      <w:spacing w:line="264" w:lineRule="auto"/>
      <w:jc w:val="both"/>
    </w:pPr>
    <w:rPr>
      <w:rFonts w:ascii="Tahoma" w:eastAsia="Arial Unicode MS" w:hAnsi="Tahoma"/>
      <w:sz w:val="21"/>
      <w:szCs w:val="21"/>
      <w:lang w:val="en-GB" w:eastAsia="en-GB"/>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pPr>
      <w:spacing w:line="264" w:lineRule="auto"/>
      <w:jc w:val="both"/>
    </w:pPr>
    <w:rPr>
      <w:rFonts w:ascii="Arial" w:eastAsia="Arial Unicode MS" w:hAnsi="Arial"/>
      <w:sz w:val="20"/>
      <w:szCs w:val="21"/>
      <w:lang w:val="en-GB" w:eastAsia="en-GB"/>
    </w:rPr>
  </w:style>
  <w:style w:type="paragraph" w:styleId="EnvelopeAddress">
    <w:name w:val="envelope address"/>
    <w:basedOn w:val="Normal"/>
    <w:uiPriority w:val="17"/>
    <w:semiHidden/>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EnvelopeReturn">
    <w:name w:val="envelope return"/>
    <w:basedOn w:val="Normal"/>
    <w:uiPriority w:val="17"/>
    <w:semiHidden/>
    <w:pPr>
      <w:spacing w:line="264" w:lineRule="auto"/>
      <w:jc w:val="both"/>
    </w:pPr>
    <w:rPr>
      <w:rFonts w:ascii="Arial" w:eastAsia="Arial Unicode MS" w:hAnsi="Arial"/>
      <w:sz w:val="20"/>
      <w:szCs w:val="21"/>
      <w:lang w:val="en-GB" w:eastAsia="en-GB"/>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spacing w:line="264" w:lineRule="auto"/>
      <w:ind w:left="210" w:hanging="210"/>
      <w:jc w:val="both"/>
    </w:pPr>
    <w:rPr>
      <w:rFonts w:ascii="Arial" w:eastAsia="Arial Unicode MS" w:hAnsi="Arial"/>
      <w:sz w:val="21"/>
      <w:szCs w:val="21"/>
      <w:lang w:val="en-GB" w:eastAsia="en-GB"/>
    </w:rPr>
  </w:style>
  <w:style w:type="paragraph" w:styleId="Index2">
    <w:name w:val="index 2"/>
    <w:basedOn w:val="Normal"/>
    <w:next w:val="Normal"/>
    <w:autoRedefine/>
    <w:uiPriority w:val="17"/>
    <w:semiHidden/>
    <w:pPr>
      <w:spacing w:line="264" w:lineRule="auto"/>
      <w:ind w:left="420" w:hanging="210"/>
      <w:jc w:val="both"/>
    </w:pPr>
    <w:rPr>
      <w:rFonts w:ascii="Arial" w:eastAsia="Arial Unicode MS" w:hAnsi="Arial"/>
      <w:sz w:val="21"/>
      <w:szCs w:val="21"/>
      <w:lang w:val="en-GB" w:eastAsia="en-GB"/>
    </w:rPr>
  </w:style>
  <w:style w:type="paragraph" w:styleId="Index3">
    <w:name w:val="index 3"/>
    <w:basedOn w:val="Normal"/>
    <w:next w:val="Normal"/>
    <w:autoRedefine/>
    <w:uiPriority w:val="17"/>
    <w:semiHidden/>
    <w:pPr>
      <w:spacing w:line="264" w:lineRule="auto"/>
      <w:ind w:left="630" w:hanging="210"/>
      <w:jc w:val="both"/>
    </w:pPr>
    <w:rPr>
      <w:rFonts w:ascii="Arial" w:eastAsia="Arial Unicode MS" w:hAnsi="Arial"/>
      <w:sz w:val="21"/>
      <w:szCs w:val="21"/>
      <w:lang w:val="en-GB" w:eastAsia="en-GB"/>
    </w:rPr>
  </w:style>
  <w:style w:type="paragraph" w:styleId="Index4">
    <w:name w:val="index 4"/>
    <w:basedOn w:val="Normal"/>
    <w:next w:val="Normal"/>
    <w:autoRedefine/>
    <w:uiPriority w:val="17"/>
    <w:semiHidden/>
    <w:pPr>
      <w:spacing w:line="264" w:lineRule="auto"/>
      <w:ind w:left="840" w:hanging="210"/>
      <w:jc w:val="both"/>
    </w:pPr>
    <w:rPr>
      <w:rFonts w:ascii="Arial" w:eastAsia="Arial Unicode MS" w:hAnsi="Arial"/>
      <w:sz w:val="21"/>
      <w:szCs w:val="21"/>
      <w:lang w:val="en-GB" w:eastAsia="en-GB"/>
    </w:rPr>
  </w:style>
  <w:style w:type="paragraph" w:styleId="Index5">
    <w:name w:val="index 5"/>
    <w:basedOn w:val="Normal"/>
    <w:next w:val="Normal"/>
    <w:autoRedefine/>
    <w:uiPriority w:val="17"/>
    <w:semiHidden/>
    <w:pPr>
      <w:spacing w:line="264" w:lineRule="auto"/>
      <w:ind w:left="1050" w:hanging="210"/>
      <w:jc w:val="both"/>
    </w:pPr>
    <w:rPr>
      <w:rFonts w:ascii="Arial" w:eastAsia="Arial Unicode MS" w:hAnsi="Arial"/>
      <w:sz w:val="21"/>
      <w:szCs w:val="21"/>
      <w:lang w:val="en-GB" w:eastAsia="en-GB"/>
    </w:rPr>
  </w:style>
  <w:style w:type="paragraph" w:styleId="Index6">
    <w:name w:val="index 6"/>
    <w:basedOn w:val="Normal"/>
    <w:next w:val="Normal"/>
    <w:autoRedefine/>
    <w:uiPriority w:val="17"/>
    <w:semiHidden/>
    <w:pPr>
      <w:spacing w:line="264" w:lineRule="auto"/>
      <w:ind w:left="1260" w:hanging="210"/>
      <w:jc w:val="both"/>
    </w:pPr>
    <w:rPr>
      <w:rFonts w:ascii="Arial" w:eastAsia="Arial Unicode MS" w:hAnsi="Arial"/>
      <w:sz w:val="21"/>
      <w:szCs w:val="21"/>
      <w:lang w:val="en-GB" w:eastAsia="en-GB"/>
    </w:rPr>
  </w:style>
  <w:style w:type="paragraph" w:styleId="Index7">
    <w:name w:val="index 7"/>
    <w:basedOn w:val="Normal"/>
    <w:next w:val="Normal"/>
    <w:autoRedefine/>
    <w:uiPriority w:val="17"/>
    <w:semiHidden/>
    <w:pPr>
      <w:spacing w:line="264" w:lineRule="auto"/>
      <w:ind w:left="1470" w:hanging="210"/>
      <w:jc w:val="both"/>
    </w:pPr>
    <w:rPr>
      <w:rFonts w:ascii="Arial" w:eastAsia="Arial Unicode MS" w:hAnsi="Arial"/>
      <w:sz w:val="21"/>
      <w:szCs w:val="21"/>
      <w:lang w:val="en-GB" w:eastAsia="en-GB"/>
    </w:rPr>
  </w:style>
  <w:style w:type="paragraph" w:styleId="Index8">
    <w:name w:val="index 8"/>
    <w:basedOn w:val="Normal"/>
    <w:next w:val="Normal"/>
    <w:autoRedefine/>
    <w:uiPriority w:val="17"/>
    <w:semiHidden/>
    <w:pPr>
      <w:spacing w:line="264" w:lineRule="auto"/>
      <w:ind w:left="1680" w:hanging="210"/>
      <w:jc w:val="both"/>
    </w:pPr>
    <w:rPr>
      <w:rFonts w:ascii="Arial" w:eastAsia="Arial Unicode MS" w:hAnsi="Arial"/>
      <w:sz w:val="21"/>
      <w:szCs w:val="21"/>
      <w:lang w:val="en-GB" w:eastAsia="en-GB"/>
    </w:rPr>
  </w:style>
  <w:style w:type="paragraph" w:styleId="Index9">
    <w:name w:val="index 9"/>
    <w:basedOn w:val="Normal"/>
    <w:next w:val="Normal"/>
    <w:autoRedefine/>
    <w:uiPriority w:val="17"/>
    <w:semiHidden/>
    <w:pPr>
      <w:spacing w:line="264" w:lineRule="auto"/>
      <w:ind w:left="1890" w:hanging="210"/>
      <w:jc w:val="both"/>
    </w:pPr>
    <w:rPr>
      <w:rFonts w:ascii="Arial" w:eastAsia="Arial Unicode MS" w:hAnsi="Arial"/>
      <w:sz w:val="21"/>
      <w:szCs w:val="21"/>
      <w:lang w:val="en-GB" w:eastAsia="en-GB"/>
    </w:rPr>
  </w:style>
  <w:style w:type="paragraph" w:styleId="IndexHeading">
    <w:name w:val="index heading"/>
    <w:basedOn w:val="Normal"/>
    <w:next w:val="Index1"/>
    <w:uiPriority w:val="17"/>
    <w:semiHidden/>
    <w:pPr>
      <w:spacing w:line="264" w:lineRule="auto"/>
      <w:jc w:val="both"/>
    </w:pPr>
    <w:rPr>
      <w:rFonts w:ascii="Arial" w:eastAsia="Arial Unicode MS" w:hAnsi="Arial"/>
      <w:b/>
      <w:sz w:val="21"/>
      <w:szCs w:val="21"/>
      <w:lang w:val="en-GB" w:eastAsia="en-G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paragraph" w:styleId="NormalIndent">
    <w:name w:val="Normal Indent"/>
    <w:basedOn w:val="Normal"/>
    <w:uiPriority w:val="29"/>
    <w:pPr>
      <w:spacing w:line="264" w:lineRule="auto"/>
      <w:ind w:left="720"/>
      <w:jc w:val="both"/>
    </w:pPr>
    <w:rPr>
      <w:rFonts w:ascii="Arial" w:eastAsia="Arial Unicode MS" w:hAnsi="Arial"/>
      <w:sz w:val="21"/>
      <w:szCs w:val="21"/>
      <w:lang w:val="en-GB" w:eastAsia="en-GB"/>
    </w:rPr>
  </w:style>
  <w:style w:type="paragraph" w:styleId="NoteHeading">
    <w:name w:val="Note Heading"/>
    <w:basedOn w:val="Normal"/>
    <w:next w:val="Normal"/>
    <w:uiPriority w:val="17"/>
    <w:semiHidden/>
    <w:pPr>
      <w:spacing w:line="264" w:lineRule="auto"/>
      <w:jc w:val="both"/>
    </w:pPr>
    <w:rPr>
      <w:rFonts w:ascii="Arial" w:eastAsia="Arial Unicode MS" w:hAnsi="Arial"/>
      <w:sz w:val="21"/>
      <w:szCs w:val="21"/>
      <w:lang w:val="en-GB" w:eastAsia="en-GB"/>
    </w:rPr>
  </w:style>
  <w:style w:type="character" w:styleId="PageNumber">
    <w:name w:val="page number"/>
    <w:basedOn w:val="DefaultParagraphFont"/>
    <w:uiPriority w:val="17"/>
    <w:semiHidden/>
  </w:style>
  <w:style w:type="paragraph" w:styleId="PlainText">
    <w:name w:val="Plain Text"/>
    <w:basedOn w:val="Normal"/>
    <w:uiPriority w:val="17"/>
    <w:semiHidden/>
    <w:pPr>
      <w:spacing w:line="264" w:lineRule="auto"/>
      <w:jc w:val="both"/>
    </w:pPr>
    <w:rPr>
      <w:rFonts w:ascii="Courier New" w:eastAsia="Arial Unicode MS" w:hAnsi="Courier New"/>
      <w:sz w:val="20"/>
      <w:szCs w:val="21"/>
      <w:lang w:val="en-GB" w:eastAsia="en-GB"/>
    </w:rPr>
  </w:style>
  <w:style w:type="paragraph" w:styleId="Salutation">
    <w:name w:val="Salutation"/>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Signature">
    <w:name w:val="Signature"/>
    <w:basedOn w:val="Normal"/>
    <w:uiPriority w:val="17"/>
    <w:semiHidden/>
    <w:pPr>
      <w:spacing w:line="264" w:lineRule="auto"/>
      <w:ind w:left="4252"/>
      <w:jc w:val="both"/>
    </w:pPr>
    <w:rPr>
      <w:rFonts w:ascii="Arial" w:eastAsia="Arial Unicode MS" w:hAnsi="Arial"/>
      <w:sz w:val="21"/>
      <w:szCs w:val="21"/>
      <w:lang w:val="en-GB" w:eastAsia="en-GB"/>
    </w:r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spacing w:line="264" w:lineRule="auto"/>
      <w:ind w:left="210" w:hanging="210"/>
      <w:jc w:val="both"/>
    </w:pPr>
    <w:rPr>
      <w:rFonts w:ascii="Arial" w:eastAsia="Arial Unicode MS" w:hAnsi="Arial"/>
      <w:sz w:val="21"/>
      <w:szCs w:val="21"/>
      <w:lang w:val="en-GB" w:eastAsia="en-GB"/>
    </w:rPr>
  </w:style>
  <w:style w:type="paragraph" w:styleId="TableofFigures">
    <w:name w:val="table of figures"/>
    <w:basedOn w:val="Normal"/>
    <w:next w:val="Normal"/>
    <w:uiPriority w:val="17"/>
    <w:semiHidden/>
    <w:pPr>
      <w:spacing w:line="264" w:lineRule="auto"/>
      <w:ind w:left="420" w:hanging="420"/>
      <w:jc w:val="both"/>
    </w:pPr>
    <w:rPr>
      <w:rFonts w:ascii="Arial" w:eastAsia="Arial Unicode MS" w:hAnsi="Arial"/>
      <w:sz w:val="21"/>
      <w:szCs w:val="21"/>
      <w:lang w:val="en-GB" w:eastAsia="en-GB"/>
    </w:rPr>
  </w:style>
  <w:style w:type="paragraph" w:styleId="TOAHeading">
    <w:name w:val="toa heading"/>
    <w:basedOn w:val="Normal"/>
    <w:next w:val="Normal"/>
    <w:uiPriority w:val="49"/>
    <w:semiHidden/>
    <w:pPr>
      <w:spacing w:before="120" w:line="264" w:lineRule="auto"/>
      <w:jc w:val="both"/>
    </w:pPr>
    <w:rPr>
      <w:rFonts w:ascii="Arial" w:eastAsia="Arial Unicode MS" w:hAnsi="Arial"/>
      <w:b/>
      <w:sz w:val="24"/>
      <w:szCs w:val="21"/>
      <w:lang w:val="en-GB" w:eastAsia="en-GB"/>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spacing w:line="264" w:lineRule="auto"/>
      <w:ind w:left="1050"/>
      <w:jc w:val="both"/>
    </w:pPr>
    <w:rPr>
      <w:rFonts w:ascii="Arial" w:eastAsia="Arial Unicode MS" w:hAnsi="Arial"/>
      <w:sz w:val="21"/>
      <w:szCs w:val="21"/>
      <w:lang w:val="en-GB" w:eastAsia="en-GB"/>
    </w:rPr>
  </w:style>
  <w:style w:type="paragraph" w:styleId="TOC7">
    <w:name w:val="toc 7"/>
    <w:basedOn w:val="Normal"/>
    <w:next w:val="Normal"/>
    <w:uiPriority w:val="49"/>
    <w:semiHidden/>
    <w:pPr>
      <w:spacing w:line="264" w:lineRule="auto"/>
      <w:ind w:left="1260"/>
      <w:jc w:val="both"/>
    </w:pPr>
    <w:rPr>
      <w:rFonts w:ascii="Arial" w:eastAsia="Arial Unicode MS" w:hAnsi="Arial"/>
      <w:sz w:val="21"/>
      <w:szCs w:val="21"/>
      <w:lang w:val="en-GB" w:eastAsia="en-GB"/>
    </w:rPr>
  </w:style>
  <w:style w:type="paragraph" w:styleId="TOC8">
    <w:name w:val="toc 8"/>
    <w:basedOn w:val="Normal"/>
    <w:next w:val="Normal"/>
    <w:uiPriority w:val="49"/>
    <w:semiHidden/>
    <w:pPr>
      <w:spacing w:line="264" w:lineRule="auto"/>
      <w:ind w:left="1470"/>
      <w:jc w:val="both"/>
    </w:pPr>
    <w:rPr>
      <w:rFonts w:ascii="Arial" w:eastAsia="Arial Unicode MS" w:hAnsi="Arial"/>
      <w:sz w:val="21"/>
      <w:szCs w:val="21"/>
      <w:lang w:val="en-GB" w:eastAsia="en-GB"/>
    </w:rPr>
  </w:style>
  <w:style w:type="paragraph" w:styleId="TOC9">
    <w:name w:val="toc 9"/>
    <w:basedOn w:val="Normal"/>
    <w:next w:val="Normal"/>
    <w:uiPriority w:val="49"/>
    <w:semiHidden/>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spacing w:line="264" w:lineRule="auto"/>
      <w:jc w:val="center"/>
    </w:pPr>
    <w:rPr>
      <w:rFonts w:ascii="Arial" w:eastAsia="Arial Unicode MS" w:hAnsi="Arial"/>
      <w:sz w:val="16"/>
      <w:szCs w:val="16"/>
      <w:lang w:val="en-GB"/>
    </w:rPr>
  </w:style>
  <w:style w:type="paragraph" w:customStyle="1" w:styleId="NormalCentred">
    <w:name w:val="Normal Centred"/>
    <w:basedOn w:val="Normal"/>
    <w:uiPriority w:val="9"/>
    <w:rsid w:val="00671861"/>
    <w:pPr>
      <w:spacing w:line="264" w:lineRule="auto"/>
      <w:jc w:val="center"/>
    </w:pPr>
    <w:rPr>
      <w:rFonts w:ascii="Arial" w:eastAsia="Arial Unicode MS" w:hAnsi="Arial"/>
      <w:sz w:val="21"/>
      <w:lang w:val="en-GB"/>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jc w:val="both"/>
    </w:pPr>
    <w:rPr>
      <w:rFonts w:ascii="Tahoma" w:eastAsia="Arial Unicode MS" w:hAnsi="Tahoma" w:cs="Tahoma"/>
      <w:sz w:val="16"/>
      <w:szCs w:val="16"/>
      <w:lang w:val="en-GB" w:eastAsia="en-GB"/>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pPr>
      <w:spacing w:line="264" w:lineRule="auto"/>
      <w:jc w:val="both"/>
    </w:pPr>
    <w:rPr>
      <w:rFonts w:ascii="Arial" w:eastAsia="Arial Unicode MS" w:hAnsi="Arial"/>
      <w:sz w:val="21"/>
      <w:lang w:val="en-GB" w:eastAsia="en-GB"/>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pPr>
      <w:spacing w:line="264" w:lineRule="auto"/>
      <w:jc w:val="both"/>
    </w:pPr>
    <w:rPr>
      <w:rFonts w:ascii="Arial" w:eastAsia="Arial Unicode MS" w:hAnsi="Arial"/>
      <w:i/>
      <w:iCs/>
      <w:color w:val="4D5357" w:themeColor="text1"/>
      <w:sz w:val="21"/>
      <w:szCs w:val="21"/>
      <w:lang w:val="en-GB" w:eastAsia="en-GB"/>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spacing w:line="264" w:lineRule="auto"/>
      <w:ind w:left="720"/>
      <w:contextualSpacing/>
      <w:jc w:val="both"/>
    </w:pPr>
    <w:rPr>
      <w:rFonts w:ascii="Arial" w:eastAsia="Arial Unicode MS" w:hAnsi="Arial"/>
      <w:sz w:val="21"/>
      <w:szCs w:val="21"/>
      <w:lang w:val="en-GB" w:eastAsia="en-GB"/>
    </w:r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Normal"/>
    <w:uiPriority w:val="17"/>
    <w:rsid w:val="00D67411"/>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customStyle="1" w:styleId="UnresolvedMention1">
    <w:name w:val="Unresolved Mention1"/>
    <w:basedOn w:val="DefaultParagraphFont"/>
    <w:uiPriority w:val="99"/>
    <w:semiHidden/>
    <w:unhideWhenUsed/>
    <w:rsid w:val="005B636B"/>
    <w:rPr>
      <w:color w:val="605E5C"/>
      <w:shd w:val="clear" w:color="auto" w:fill="E1DFDD"/>
    </w:rPr>
  </w:style>
  <w:style w:type="character" w:customStyle="1" w:styleId="UnresolvedMention2">
    <w:name w:val="Unresolved Mention2"/>
    <w:basedOn w:val="DefaultParagraphFont"/>
    <w:rsid w:val="005867F1"/>
    <w:rPr>
      <w:color w:val="605E5C"/>
      <w:shd w:val="clear" w:color="auto" w:fill="E1DFDD"/>
    </w:rPr>
  </w:style>
  <w:style w:type="character" w:customStyle="1" w:styleId="UnresolvedMention3">
    <w:name w:val="Unresolved Mention3"/>
    <w:basedOn w:val="DefaultParagraphFont"/>
    <w:rsid w:val="00713D90"/>
    <w:rPr>
      <w:color w:val="605E5C"/>
      <w:shd w:val="clear" w:color="auto" w:fill="E1DFDD"/>
    </w:rPr>
  </w:style>
  <w:style w:type="character" w:customStyle="1" w:styleId="UnresolvedMention4">
    <w:name w:val="Unresolved Mention4"/>
    <w:basedOn w:val="DefaultParagraphFont"/>
    <w:rsid w:val="009F0F97"/>
    <w:rPr>
      <w:color w:val="605E5C"/>
      <w:shd w:val="clear" w:color="auto" w:fill="E1DFDD"/>
    </w:rPr>
  </w:style>
  <w:style w:type="character" w:styleId="UnresolvedMention">
    <w:name w:val="Unresolved Mention"/>
    <w:basedOn w:val="DefaultParagraphFont"/>
    <w:rsid w:val="001D3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0</TotalTime>
  <Pages>2</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1103635</cp:lastModifiedBy>
  <cp:revision>4</cp:revision>
  <dcterms:created xsi:type="dcterms:W3CDTF">2025-07-07T08:07:00Z</dcterms:created>
  <dcterms:modified xsi:type="dcterms:W3CDTF">2025-07-11T09:05:00Z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ActionId">
    <vt:lpwstr>13eeedbc-2467-4d02-9ade-6ed940bf6c07</vt:lpwstr>
  </property>
  <property fmtid="{D5CDD505-2E9C-101B-9397-08002B2CF9AE}" pid="3" name="MSIP_Label_48b74929-8982-4e89-a6a6-55140f77cd43_ContentBits">
    <vt:lpwstr>0</vt:lpwstr>
  </property>
  <property fmtid="{D5CDD505-2E9C-101B-9397-08002B2CF9AE}" pid="4" name="MSIP_Label_48b74929-8982-4e89-a6a6-55140f77cd43_Enabled">
    <vt:lpwstr>true</vt:lpwstr>
  </property>
  <property fmtid="{D5CDD505-2E9C-101B-9397-08002B2CF9AE}" pid="5" name="MSIP_Label_48b74929-8982-4e89-a6a6-55140f77cd43_Method">
    <vt:lpwstr>Standard</vt:lpwstr>
  </property>
  <property fmtid="{D5CDD505-2E9C-101B-9397-08002B2CF9AE}" pid="6" name="MSIP_Label_48b74929-8982-4e89-a6a6-55140f77cd43_Name">
    <vt:lpwstr>Public</vt:lpwstr>
  </property>
  <property fmtid="{D5CDD505-2E9C-101B-9397-08002B2CF9AE}" pid="7" name="MSIP_Label_48b74929-8982-4e89-a6a6-55140f77cd43_SetDate">
    <vt:lpwstr>2025-02-12T12:09:45Z</vt:lpwstr>
  </property>
  <property fmtid="{D5CDD505-2E9C-101B-9397-08002B2CF9AE}" pid="8" name="MSIP_Label_48b74929-8982-4e89-a6a6-55140f77cd43_SiteId">
    <vt:lpwstr>ba0d53ed-09ae-4316-a989-372fb86ca0b4</vt:lpwstr>
  </property>
</Properties>
</file>